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A696" w14:textId="77777777"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 wp14:anchorId="24C3C9F1" wp14:editId="0626E55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 wp14:anchorId="1D3801D6" wp14:editId="08AB2512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0EEB8DD" w14:textId="77777777"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DA0919F" w14:textId="77777777" w:rsidR="0003190B" w:rsidRDefault="0003190B"/>
    <w:p w14:paraId="43FF6564" w14:textId="77777777" w:rsidR="0003190B" w:rsidRDefault="0003190B"/>
    <w:p w14:paraId="37E18512" w14:textId="77777777" w:rsidR="0003190B" w:rsidRDefault="0003190B"/>
    <w:p w14:paraId="61BAD1EA" w14:textId="77777777" w:rsidR="0003190B" w:rsidRDefault="0003190B"/>
    <w:p w14:paraId="5713D7B2" w14:textId="77777777" w:rsidR="0003190B" w:rsidRDefault="0003190B"/>
    <w:p w14:paraId="2F46B1C4" w14:textId="77777777" w:rsidR="0003190B" w:rsidRDefault="0003190B"/>
    <w:p w14:paraId="461E6779" w14:textId="77777777" w:rsidR="0003190B" w:rsidRDefault="0003190B"/>
    <w:p w14:paraId="17745A70" w14:textId="77777777" w:rsidR="0003190B" w:rsidRDefault="0003190B"/>
    <w:p w14:paraId="65BE271E" w14:textId="77777777" w:rsidR="0003190B" w:rsidRDefault="001D0498" w:rsidP="009E25B0">
      <w:pPr>
        <w:tabs>
          <w:tab w:val="left" w:pos="5669"/>
        </w:tabs>
      </w:pPr>
      <w:r>
        <w:tab/>
      </w:r>
    </w:p>
    <w:p w14:paraId="4AEF9F16" w14:textId="77777777" w:rsidR="00282E09" w:rsidRDefault="00282E09"/>
    <w:p w14:paraId="65B6EC20" w14:textId="77777777" w:rsidR="0003190B" w:rsidRDefault="0003190B">
      <w:pPr>
        <w:tabs>
          <w:tab w:val="left" w:pos="1020"/>
        </w:tabs>
      </w:pPr>
    </w:p>
    <w:p w14:paraId="358D7F5D" w14:textId="77777777" w:rsidR="004E5574" w:rsidRDefault="009E25B0" w:rsidP="00282E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E2">
        <w:rPr>
          <w:rFonts w:ascii="Times New Roman" w:hAnsi="Times New Roman" w:cs="Times New Roman"/>
          <w:b/>
          <w:bCs/>
          <w:sz w:val="32"/>
          <w:szCs w:val="32"/>
        </w:rPr>
        <w:t xml:space="preserve">OBRAZLOŽENJE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GODIŠNJEG </w:t>
      </w:r>
      <w:r w:rsidRPr="009F58E2">
        <w:rPr>
          <w:rFonts w:ascii="Times New Roman" w:hAnsi="Times New Roman" w:cs="Times New Roman"/>
          <w:b/>
          <w:bCs/>
          <w:sz w:val="32"/>
          <w:szCs w:val="32"/>
        </w:rPr>
        <w:t>IZVJEŠTAJA O IZVRŠENJU FINANCIJSKOG PLANA ZA</w:t>
      </w:r>
      <w:r w:rsidR="00AB40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508D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3D508D">
        <w:rPr>
          <w:rFonts w:ascii="Times New Roman" w:hAnsi="Times New Roman" w:cs="Times New Roman"/>
          <w:b/>
          <w:bCs/>
          <w:sz w:val="32"/>
          <w:szCs w:val="32"/>
        </w:rPr>
        <w:t>. GODIN</w:t>
      </w:r>
      <w:r w:rsidR="00AB4044">
        <w:rPr>
          <w:rFonts w:ascii="Times New Roman" w:hAnsi="Times New Roman" w:cs="Times New Roman"/>
          <w:b/>
          <w:bCs/>
          <w:sz w:val="32"/>
          <w:szCs w:val="32"/>
        </w:rPr>
        <w:t>U</w:t>
      </w:r>
    </w:p>
    <w:p w14:paraId="105BD04E" w14:textId="77777777" w:rsidR="009E25B0" w:rsidRDefault="009E25B0" w:rsidP="009E25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2F8AF" w14:textId="77777777" w:rsidR="00282E09" w:rsidRPr="001063D5" w:rsidRDefault="00282E09" w:rsidP="009E25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B1BD4" w14:textId="77777777" w:rsidR="009E25B0" w:rsidRPr="009E25B0" w:rsidRDefault="009E25B0" w:rsidP="009E25B0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E25B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OPĆI DIO</w:t>
      </w:r>
    </w:p>
    <w:p w14:paraId="22076E15" w14:textId="77777777" w:rsidR="009E25B0" w:rsidRPr="009E25B0" w:rsidRDefault="009E25B0" w:rsidP="009E25B0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1216DBD8" w14:textId="66668FE2" w:rsidR="009E25B0" w:rsidRPr="0051305A" w:rsidRDefault="00191FC2" w:rsidP="00160576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Srednja š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>kola</w:t>
      </w:r>
      <w:r w:rsidR="005E53C5">
        <w:rPr>
          <w:rFonts w:ascii="Times New Roman" w:hAnsi="Times New Roman" w:cs="Times New Roman"/>
          <w:color w:val="auto"/>
          <w:sz w:val="24"/>
          <w:szCs w:val="24"/>
        </w:rPr>
        <w:t xml:space="preserve"> dr. Antuna Barca Crikvenica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je u izvještajnom razdoblju ostvarila ukupne prihode od</w:t>
      </w:r>
      <w:r w:rsidR="00AB4044">
        <w:rPr>
          <w:rFonts w:ascii="Times New Roman" w:hAnsi="Times New Roman" w:cs="Times New Roman"/>
          <w:color w:val="auto"/>
          <w:sz w:val="24"/>
          <w:szCs w:val="24"/>
        </w:rPr>
        <w:t xml:space="preserve"> 1.429.974,25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eura 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što iznosi </w:t>
      </w:r>
      <w:r w:rsidR="00AB4044">
        <w:rPr>
          <w:rFonts w:ascii="Times New Roman" w:hAnsi="Times New Roman" w:cs="Times New Roman"/>
          <w:color w:val="auto"/>
          <w:sz w:val="24"/>
          <w:szCs w:val="24"/>
        </w:rPr>
        <w:t>100,74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>% ukupno planiranih prihoda</w:t>
      </w:r>
      <w:r w:rsidR="00141E2A">
        <w:rPr>
          <w:rFonts w:ascii="Times New Roman" w:hAnsi="Times New Roman" w:cs="Times New Roman"/>
          <w:color w:val="auto"/>
          <w:sz w:val="24"/>
          <w:szCs w:val="24"/>
        </w:rPr>
        <w:t xml:space="preserve"> za 2024. godinu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 te su u odnosu na 2023. godin</w:t>
      </w:r>
      <w:r w:rsidR="00AB4044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 veći za </w:t>
      </w:r>
      <w:r w:rsidR="00941089">
        <w:rPr>
          <w:rFonts w:ascii="Times New Roman" w:hAnsi="Times New Roman" w:cs="Times New Roman"/>
          <w:color w:val="auto"/>
          <w:sz w:val="24"/>
          <w:szCs w:val="24"/>
        </w:rPr>
        <w:t>6,61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 postotnih poena. </w:t>
      </w:r>
      <w:r w:rsidR="000847B9">
        <w:rPr>
          <w:rFonts w:ascii="Times New Roman" w:hAnsi="Times New Roman" w:cs="Times New Roman"/>
          <w:color w:val="auto"/>
          <w:sz w:val="24"/>
          <w:szCs w:val="24"/>
        </w:rPr>
        <w:t>Ukupni p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>lanirani rashodi u 2024. godin</w:t>
      </w:r>
      <w:r w:rsidR="00AB4044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 su ostvareni </w:t>
      </w:r>
      <w:r w:rsidR="00F06A23">
        <w:rPr>
          <w:rFonts w:ascii="Times New Roman" w:hAnsi="Times New Roman" w:cs="Times New Roman"/>
          <w:color w:val="auto"/>
          <w:sz w:val="24"/>
          <w:szCs w:val="24"/>
        </w:rPr>
        <w:t xml:space="preserve">98,75 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F41A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>iznos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1BAD">
        <w:rPr>
          <w:rFonts w:ascii="Times New Roman" w:hAnsi="Times New Roman" w:cs="Times New Roman"/>
          <w:color w:val="auto"/>
          <w:sz w:val="24"/>
          <w:szCs w:val="24"/>
        </w:rPr>
        <w:t>1.435.173,72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>eura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0847B9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auto"/>
          <w:sz w:val="24"/>
          <w:szCs w:val="24"/>
        </w:rPr>
        <w:t>10,92</w:t>
      </w:r>
      <w:r w:rsidR="000847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7B9" w:rsidRPr="009E25B0">
        <w:rPr>
          <w:rFonts w:ascii="Times New Roman" w:hAnsi="Times New Roman" w:cs="Times New Roman"/>
          <w:color w:val="auto"/>
          <w:sz w:val="24"/>
          <w:szCs w:val="24"/>
        </w:rPr>
        <w:t>postotnih poena v</w:t>
      </w:r>
      <w:r w:rsidR="000847B9">
        <w:rPr>
          <w:rFonts w:ascii="Times New Roman" w:hAnsi="Times New Roman" w:cs="Times New Roman"/>
          <w:color w:val="auto"/>
          <w:sz w:val="24"/>
          <w:szCs w:val="24"/>
        </w:rPr>
        <w:t>iše</w:t>
      </w:r>
      <w:r w:rsidR="000847B9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u odnosu na 202</w:t>
      </w:r>
      <w:r w:rsidR="000847B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847B9" w:rsidRPr="009E25B0">
        <w:rPr>
          <w:rFonts w:ascii="Times New Roman" w:hAnsi="Times New Roman" w:cs="Times New Roman"/>
          <w:color w:val="auto"/>
          <w:sz w:val="24"/>
          <w:szCs w:val="24"/>
        </w:rPr>
        <w:t>. godinu</w:t>
      </w:r>
      <w:r w:rsidR="000847B9">
        <w:rPr>
          <w:rFonts w:ascii="Times New Roman" w:hAnsi="Times New Roman" w:cs="Times New Roman"/>
          <w:color w:val="auto"/>
          <w:sz w:val="24"/>
          <w:szCs w:val="24"/>
        </w:rPr>
        <w:t xml:space="preserve">. Ostvareni prihodi i rashodi 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>rezultira</w:t>
      </w:r>
      <w:r w:rsidR="000847B9">
        <w:rPr>
          <w:rFonts w:ascii="Times New Roman" w:hAnsi="Times New Roman" w:cs="Times New Roman"/>
          <w:color w:val="auto"/>
          <w:sz w:val="24"/>
          <w:szCs w:val="24"/>
        </w:rPr>
        <w:t>li su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>manjkom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prihoda od</w:t>
      </w:r>
      <w:r w:rsidR="00545F9F">
        <w:rPr>
          <w:rFonts w:ascii="Times New Roman" w:hAnsi="Times New Roman" w:cs="Times New Roman"/>
          <w:color w:val="auto"/>
          <w:sz w:val="24"/>
          <w:szCs w:val="24"/>
        </w:rPr>
        <w:t xml:space="preserve"> 5.199,47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>eur</w:t>
      </w:r>
      <w:r w:rsidR="0016057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1305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Z</w:t>
      </w:r>
      <w:r w:rsidR="0051305A" w:rsidRPr="00545F9F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bog utvrđene neravnoteže </w:t>
      </w:r>
      <w:r w:rsidR="0051305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bilance</w:t>
      </w:r>
      <w:r w:rsidR="0051305A" w:rsidRPr="00545F9F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iz prethodnih razdoblja, </w:t>
      </w:r>
      <w:r w:rsidR="0051305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u 2024. godini je </w:t>
      </w:r>
      <w:r w:rsidR="0051305A" w:rsidRPr="00545F9F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provedeno usklađenje konta 911 u korist poslovnog rezultata u iznosu </w:t>
      </w:r>
      <w:r w:rsidR="0051305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od </w:t>
      </w:r>
      <w:r w:rsidR="0051305A" w:rsidRPr="0051305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  <w:t xml:space="preserve">1.704,27 </w:t>
      </w:r>
      <w:r w:rsidR="0051305A" w:rsidRPr="00545F9F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eura</w:t>
      </w:r>
      <w:r w:rsidR="0051305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.</w:t>
      </w:r>
      <w:r w:rsidR="009E25B0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>Prenesena sredstva iz prethodn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 godine se sast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5209C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 od preneseno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 viška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 xml:space="preserve"> u iznosu od 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 34.243,80 eura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 te prenesenog manjka 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>u iznosu od 395,96 eura za projekt Erasmu</w:t>
      </w:r>
      <w:r w:rsidR="00545F9F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 xml:space="preserve">+ koji </w:t>
      </w:r>
      <w:r w:rsidR="00545F9F">
        <w:rPr>
          <w:rFonts w:ascii="Times New Roman" w:hAnsi="Times New Roman" w:cs="Times New Roman"/>
          <w:color w:val="auto"/>
          <w:sz w:val="24"/>
          <w:szCs w:val="24"/>
        </w:rPr>
        <w:t>se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 xml:space="preserve"> pokr</w:t>
      </w:r>
      <w:r w:rsidR="00545F9F">
        <w:rPr>
          <w:rFonts w:ascii="Times New Roman" w:hAnsi="Times New Roman" w:cs="Times New Roman"/>
          <w:color w:val="auto"/>
          <w:sz w:val="24"/>
          <w:szCs w:val="24"/>
        </w:rPr>
        <w:t xml:space="preserve">io u 2024. godini </w:t>
      </w:r>
      <w:r w:rsidR="00227976">
        <w:rPr>
          <w:rFonts w:ascii="Times New Roman" w:hAnsi="Times New Roman" w:cs="Times New Roman"/>
          <w:color w:val="auto"/>
          <w:sz w:val="24"/>
          <w:szCs w:val="24"/>
        </w:rPr>
        <w:t>prihodima od projekta.</w:t>
      </w:r>
      <w:r w:rsidR="0051305A" w:rsidRPr="005130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305A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S obzirom da preneseni 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>višak</w:t>
      </w:r>
      <w:r w:rsidR="0051305A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iz 20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51305A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. godine iznosi 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 xml:space="preserve">33.847,84 </w:t>
      </w:r>
      <w:r w:rsidR="0051305A" w:rsidRPr="009E25B0">
        <w:rPr>
          <w:rFonts w:ascii="Times New Roman" w:hAnsi="Times New Roman" w:cs="Times New Roman"/>
          <w:color w:val="auto"/>
          <w:sz w:val="24"/>
          <w:szCs w:val="24"/>
        </w:rPr>
        <w:t>eura, ostvaren je ukupni višak prihoda i primitaka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 xml:space="preserve"> koji se prenosi u sl</w:t>
      </w:r>
      <w:r w:rsidR="00195F4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>jedeć</w:t>
      </w:r>
      <w:r w:rsidR="00195F4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 xml:space="preserve"> 2025. godinu</w:t>
      </w:r>
      <w:r w:rsidR="0051305A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u izno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>si</w:t>
      </w:r>
      <w:r w:rsidR="0051305A"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305A">
        <w:rPr>
          <w:rFonts w:ascii="Times New Roman" w:hAnsi="Times New Roman" w:cs="Times New Roman"/>
          <w:color w:val="auto"/>
          <w:sz w:val="24"/>
          <w:szCs w:val="24"/>
        </w:rPr>
        <w:t xml:space="preserve">30.352,64 </w:t>
      </w:r>
      <w:r w:rsidR="0051305A" w:rsidRPr="009E25B0">
        <w:rPr>
          <w:rFonts w:ascii="Times New Roman" w:hAnsi="Times New Roman" w:cs="Times New Roman"/>
          <w:color w:val="auto"/>
          <w:sz w:val="24"/>
          <w:szCs w:val="24"/>
        </w:rPr>
        <w:t>eura.</w:t>
      </w:r>
      <w:r w:rsidR="006127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1FCBA80" w14:textId="77777777" w:rsidR="009E25B0" w:rsidRPr="00272924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8B697D" w14:textId="77777777" w:rsidR="009E25B0" w:rsidRPr="00272924" w:rsidRDefault="00272924" w:rsidP="009E25B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Prenes</w:t>
      </w:r>
      <w:r w:rsidR="00EB564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en</w:t>
      </w:r>
      <w:r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i v</w:t>
      </w:r>
      <w:r w:rsidR="009E25B0"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išak prihoda i primitaka</w:t>
      </w:r>
      <w:r w:rsidR="004D4CB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iz 2023. godine</w:t>
      </w:r>
      <w:r w:rsidR="009E25B0"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 iznosu od 33.847,84 eura odnosi se na sljedeće izvore financiranja: </w:t>
      </w:r>
    </w:p>
    <w:p w14:paraId="2A5AA199" w14:textId="77777777" w:rsidR="009E25B0" w:rsidRPr="00272924" w:rsidRDefault="009E25B0" w:rsidP="009E25B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 vlastitih prihoda 12.469,79  €</w:t>
      </w:r>
      <w:r w:rsidR="00272924"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</w:t>
      </w:r>
    </w:p>
    <w:p w14:paraId="71F64578" w14:textId="77777777" w:rsidR="009E25B0" w:rsidRPr="00272924" w:rsidRDefault="009E25B0" w:rsidP="009E25B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višak prihoda od pomoći u iznosu od 21.723,62 €, </w:t>
      </w:r>
    </w:p>
    <w:p w14:paraId="0FD3F319" w14:textId="77777777" w:rsidR="009E25B0" w:rsidRPr="00272924" w:rsidRDefault="009E25B0" w:rsidP="009E25B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višak prihoda za posebne namjene u iznosu 50,39 €, </w:t>
      </w:r>
    </w:p>
    <w:p w14:paraId="5121CC24" w14:textId="77777777" w:rsidR="009E25B0" w:rsidRDefault="009E25B0" w:rsidP="009E25B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27292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manjak prihoda od pomoći u iznosu od 395,96 €.</w:t>
      </w:r>
    </w:p>
    <w:p w14:paraId="18A1548D" w14:textId="77777777" w:rsidR="00C509E1" w:rsidRDefault="00C509E1" w:rsidP="00C509E1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</w:p>
    <w:p w14:paraId="0035660A" w14:textId="162CC891" w:rsidR="00C509E1" w:rsidRPr="00C509E1" w:rsidRDefault="00C509E1" w:rsidP="00C509E1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lastRenderedPageBreak/>
        <w:t>Stanje novčanih sredstava</w:t>
      </w:r>
      <w:r w:rsidRPr="00C509E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Škol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e na početku godine iznosi 40.535,74 </w:t>
      </w:r>
      <w:r w:rsidRPr="00C509E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eura,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dok  stanje na kraju 2024. godine iznosi 34.773,35 </w:t>
      </w:r>
      <w:r w:rsidRPr="00C509E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eura.  </w:t>
      </w:r>
    </w:p>
    <w:p w14:paraId="1B9845AF" w14:textId="77777777" w:rsidR="00C509E1" w:rsidRDefault="00C509E1" w:rsidP="00C509E1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</w:p>
    <w:p w14:paraId="3BB5F8F5" w14:textId="77777777" w:rsidR="00282E09" w:rsidRPr="00272924" w:rsidRDefault="00282E09" w:rsidP="00282E09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</w:p>
    <w:p w14:paraId="4F1CA193" w14:textId="77777777" w:rsidR="007C33D0" w:rsidRPr="007C33D0" w:rsidRDefault="009E25B0" w:rsidP="007C33D0">
      <w:p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Najveći udio ostvarenih prihoda odnosi se </w:t>
      </w:r>
      <w:r w:rsidRPr="0068612B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68612B" w:rsidRPr="0068612B">
        <w:rPr>
          <w:rFonts w:ascii="Times New Roman" w:hAnsi="Times New Roman" w:cs="Times New Roman"/>
          <w:color w:val="auto"/>
          <w:sz w:val="24"/>
          <w:szCs w:val="24"/>
        </w:rPr>
        <w:t>izvor financiranja 5 – Pomoći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8612B">
        <w:rPr>
          <w:rFonts w:ascii="Times New Roman" w:hAnsi="Times New Roman" w:cs="Times New Roman"/>
          <w:color w:val="auto"/>
          <w:sz w:val="24"/>
          <w:szCs w:val="24"/>
        </w:rPr>
        <w:t xml:space="preserve">prihod </w:t>
      </w:r>
      <w:r w:rsidRPr="009E25B0">
        <w:rPr>
          <w:rFonts w:ascii="Times New Roman" w:hAnsi="Times New Roman" w:cs="Times New Roman"/>
          <w:color w:val="auto"/>
          <w:sz w:val="24"/>
          <w:szCs w:val="24"/>
        </w:rPr>
        <w:t>Ministarstva znanosti i obrazovanja kojima se financiraju rashodi za plaće i ostala materijalna prava zaposlenika kao i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 izvor financiranja 4 –</w:t>
      </w:r>
      <w:r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 xml:space="preserve">Prihodi za posebne namjene, najvećim dijelom </w:t>
      </w:r>
      <w:r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osnivača PGŽ kojima se financira osnovna djelatnost Škole kroz decentralizirana sredstva i programe iznad zakonskog standarda. 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>5 –</w:t>
      </w:r>
      <w:r w:rsidR="00A27BC3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>rihodi</w:t>
      </w:r>
      <w:r w:rsidRPr="009E25B0">
        <w:rPr>
          <w:rFonts w:ascii="Times New Roman" w:hAnsi="Times New Roman" w:cs="Times New Roman"/>
          <w:color w:val="auto"/>
          <w:sz w:val="24"/>
          <w:szCs w:val="24"/>
        </w:rPr>
        <w:t xml:space="preserve"> od pomoći za provedbu projek</w:t>
      </w:r>
      <w:r w:rsidR="0068612B">
        <w:rPr>
          <w:rFonts w:ascii="Times New Roman" w:hAnsi="Times New Roman" w:cs="Times New Roman"/>
          <w:color w:val="auto"/>
          <w:sz w:val="24"/>
          <w:szCs w:val="24"/>
        </w:rPr>
        <w:t>ta</w:t>
      </w:r>
      <w:r w:rsidR="00A27BC3">
        <w:rPr>
          <w:rFonts w:ascii="Times New Roman" w:hAnsi="Times New Roman" w:cs="Times New Roman"/>
          <w:color w:val="auto"/>
          <w:sz w:val="24"/>
          <w:szCs w:val="24"/>
        </w:rPr>
        <w:t xml:space="preserve"> su znatno manji u odnosu na prethodnu godinu </w:t>
      </w:r>
      <w:r w:rsidR="00A27BC3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jer su projekti MREŽA KOM5ENTNOSTI </w:t>
      </w:r>
      <w:r w:rsidR="00F41AA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27BC3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RCK-RECEPT</w:t>
      </w:r>
      <w:r w:rsidR="0068612B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7BC3" w:rsidRPr="000E0341">
        <w:rPr>
          <w:rFonts w:ascii="Times New Roman" w:hAnsi="Times New Roman" w:cs="Times New Roman"/>
          <w:color w:val="auto"/>
          <w:sz w:val="24"/>
          <w:szCs w:val="24"/>
        </w:rPr>
        <w:t>završili krajem</w:t>
      </w:r>
      <w:r w:rsidR="00A27BC3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2023. godine</w:t>
      </w:r>
      <w:r w:rsidR="00FE088C" w:rsidRPr="001E68B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8612B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te je</w:t>
      </w:r>
      <w:r w:rsidR="00A27BC3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u tekućoj godini</w:t>
      </w:r>
      <w:r w:rsidR="0068612B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ostvaren </w:t>
      </w:r>
      <w:r w:rsidR="00A27BC3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samo </w:t>
      </w:r>
      <w:r w:rsidR="0068612B" w:rsidRPr="001E68B8">
        <w:rPr>
          <w:rFonts w:ascii="Times New Roman" w:hAnsi="Times New Roman" w:cs="Times New Roman"/>
          <w:color w:val="auto"/>
          <w:sz w:val="24"/>
          <w:szCs w:val="24"/>
        </w:rPr>
        <w:t>prihod po završetku projekta</w:t>
      </w:r>
      <w:r w:rsidR="00A27BC3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RCK-RECEPT.</w:t>
      </w:r>
      <w:r w:rsidR="005E3765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Prihodi i rashodi po izvoru 111 – Opći prihodi i primici su </w:t>
      </w:r>
      <w:r w:rsidR="00465747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manji </w:t>
      </w:r>
      <w:r w:rsidR="005E3765" w:rsidRPr="001E68B8">
        <w:rPr>
          <w:rFonts w:ascii="Times New Roman" w:hAnsi="Times New Roman" w:cs="Times New Roman"/>
          <w:color w:val="auto"/>
          <w:sz w:val="24"/>
          <w:szCs w:val="24"/>
        </w:rPr>
        <w:t>u odnosu na 2023. godinu jer</w:t>
      </w:r>
      <w:r w:rsidR="00DF7F47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je osnivač </w:t>
      </w:r>
      <w:r w:rsidR="008A40CF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u 2023. godini iz spomenutog izvora </w:t>
      </w:r>
      <w:r w:rsidR="00DF7F47" w:rsidRPr="001E68B8">
        <w:rPr>
          <w:rFonts w:ascii="Times New Roman" w:hAnsi="Times New Roman" w:cs="Times New Roman"/>
          <w:color w:val="auto"/>
          <w:sz w:val="24"/>
          <w:szCs w:val="24"/>
        </w:rPr>
        <w:t>sudj</w:t>
      </w:r>
      <w:r w:rsidR="008A40CF" w:rsidRPr="001E68B8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DF7F47" w:rsidRPr="001E68B8">
        <w:rPr>
          <w:rFonts w:ascii="Times New Roman" w:hAnsi="Times New Roman" w:cs="Times New Roman"/>
          <w:color w:val="auto"/>
          <w:sz w:val="24"/>
          <w:szCs w:val="24"/>
        </w:rPr>
        <w:t>lovao u financiranju  neprihvatljiv</w:t>
      </w:r>
      <w:r w:rsidR="008A40CF" w:rsidRPr="001E68B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DF7F47" w:rsidRPr="001E68B8">
        <w:rPr>
          <w:rFonts w:ascii="Times New Roman" w:hAnsi="Times New Roman" w:cs="Times New Roman"/>
          <w:color w:val="auto"/>
          <w:sz w:val="24"/>
          <w:szCs w:val="24"/>
        </w:rPr>
        <w:t>h troškova po projektu MREŽA KOM5ENTNOSTI</w:t>
      </w:r>
      <w:r w:rsidR="000E0341" w:rsidRPr="001E68B8">
        <w:rPr>
          <w:rFonts w:ascii="Times New Roman" w:hAnsi="Times New Roman"/>
          <w:color w:val="auto"/>
          <w:sz w:val="24"/>
          <w:szCs w:val="24"/>
        </w:rPr>
        <w:t>.</w:t>
      </w:r>
      <w:r w:rsidR="007C33D0" w:rsidRPr="001E68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33D0" w:rsidRPr="001E68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Prihodi </w:t>
      </w:r>
      <w:r w:rsidR="007C33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 rashodi po izvoru 3-Vlastiti prihodi </w:t>
      </w:r>
      <w:r w:rsidR="007C33D0" w:rsidRPr="007C33D0">
        <w:rPr>
          <w:rFonts w:ascii="Times New Roman" w:hAnsi="Times New Roman" w:cs="Times New Roman"/>
          <w:bCs/>
          <w:color w:val="auto"/>
          <w:sz w:val="24"/>
          <w:szCs w:val="24"/>
        </w:rPr>
        <w:t>veći su</w:t>
      </w:r>
      <w:r w:rsidR="007C33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 </w:t>
      </w:r>
      <w:r w:rsidR="002D50DA">
        <w:rPr>
          <w:rFonts w:ascii="Times New Roman" w:hAnsi="Times New Roman" w:cs="Times New Roman"/>
          <w:bCs/>
          <w:color w:val="auto"/>
          <w:sz w:val="24"/>
          <w:szCs w:val="24"/>
        </w:rPr>
        <w:t>72,23</w:t>
      </w:r>
      <w:r w:rsidR="007C33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postotna poena</w:t>
      </w:r>
      <w:r w:rsidR="007C33D0" w:rsidRPr="007C33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 ovom izvještajnom razdoblju s obzirom da je Škola u 2024. godini ostvarila prihod za iznajmljivanje školske dvorane sportskim klubovima za razdoblje od srpnja do prosinca prethodne</w:t>
      </w:r>
      <w:r w:rsidR="008B4F0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2023.</w:t>
      </w:r>
      <w:r w:rsidR="007C33D0" w:rsidRPr="007C33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godine.</w:t>
      </w:r>
    </w:p>
    <w:p w14:paraId="186F64B0" w14:textId="77777777" w:rsidR="005E3765" w:rsidRPr="000E0341" w:rsidRDefault="005E3765" w:rsidP="009E25B0">
      <w:p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767714" w14:textId="77777777" w:rsidR="005E3765" w:rsidRPr="000E0341" w:rsidRDefault="005E3765" w:rsidP="000E0341">
      <w:pPr>
        <w:tabs>
          <w:tab w:val="left" w:pos="612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Prema funkcijskoj klasifikaciji Škola je ost</w:t>
      </w:r>
      <w:r w:rsidR="00B72973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72973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ila 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 xml:space="preserve">1.433.935,00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eura rashoda za 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rednjoškolsko obrazovanje (092) što je za 8,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>75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postotnih poena više od ostvarenja prethodne godine. </w:t>
      </w:r>
      <w:r w:rsidR="000E0341" w:rsidRPr="000E0341">
        <w:rPr>
          <w:rFonts w:ascii="Times New Roman" w:hAnsi="Times New Roman" w:cs="Times New Roman"/>
          <w:color w:val="auto"/>
          <w:sz w:val="24"/>
          <w:szCs w:val="24"/>
        </w:rPr>
        <w:t>S obzirom da je Škola</w:t>
      </w:r>
      <w:r w:rsidR="000E0341" w:rsidRPr="000E0341">
        <w:rPr>
          <w:rFonts w:ascii="Times New Roman" w:hAnsi="Times New Roman"/>
          <w:color w:val="auto"/>
          <w:sz w:val="24"/>
          <w:szCs w:val="24"/>
        </w:rPr>
        <w:t xml:space="preserve"> organizirala dva natjecanja u tekućoj godini ostvaren je rashod od </w:t>
      </w:r>
      <w:r w:rsidR="000E0341" w:rsidRPr="000E0341">
        <w:rPr>
          <w:rFonts w:ascii="Times New Roman" w:hAnsi="Times New Roman" w:cs="Times New Roman"/>
          <w:color w:val="auto"/>
          <w:sz w:val="24"/>
          <w:szCs w:val="24"/>
        </w:rPr>
        <w:t>1.238,72 eura za usluge obrazovanja koje nisu drugdje svrstane (098).</w:t>
      </w:r>
    </w:p>
    <w:p w14:paraId="4FC2E426" w14:textId="77777777" w:rsidR="00282E09" w:rsidRDefault="00282E09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B77441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2F38B0C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0E034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POSEBNI DIO</w:t>
      </w:r>
    </w:p>
    <w:p w14:paraId="642A365C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14:paraId="42744096" w14:textId="77777777" w:rsidR="009E25B0" w:rsidRPr="000B005B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Od ukupno ostvarenih 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>1.435.173,72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eura rashoda najveći dio, 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 xml:space="preserve">1.379.863,97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eura, odnosi se na program Osiguravanje uvjeta rada dok se 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 xml:space="preserve">45.103,11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eura odnosi na program Unapređenje kvalitete odgojno obrazovnog sustava, </w:t>
      </w:r>
      <w:r w:rsidR="00F41124">
        <w:rPr>
          <w:rFonts w:ascii="Times New Roman" w:hAnsi="Times New Roman" w:cs="Times New Roman"/>
          <w:color w:val="auto"/>
          <w:sz w:val="24"/>
          <w:szCs w:val="24"/>
        </w:rPr>
        <w:t xml:space="preserve">1.238,72 na program </w:t>
      </w:r>
      <w:r w:rsidR="000B005B" w:rsidRPr="000B005B">
        <w:rPr>
          <w:rFonts w:ascii="Times New Roman" w:hAnsi="Times New Roman"/>
          <w:color w:val="auto"/>
          <w:sz w:val="24"/>
          <w:szCs w:val="24"/>
        </w:rPr>
        <w:t>Obilježavanje postignuća učenika i nastavnika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 xml:space="preserve">, a 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>8.967,92</w:t>
      </w:r>
      <w:r w:rsidR="00F41124" w:rsidRPr="000B00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005B">
        <w:rPr>
          <w:rFonts w:ascii="Times New Roman" w:hAnsi="Times New Roman" w:cs="Times New Roman"/>
          <w:color w:val="auto"/>
          <w:sz w:val="24"/>
          <w:szCs w:val="24"/>
        </w:rPr>
        <w:t>eura se odnosi na program Kapitalna ulaganja u odgojno obrazovnu infrastrukturu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DE9A2E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CD8876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Osiguravanje uvjeta rada je program koji obuhvaća sve materijalne i financijske troškove Škole koji nastaju tokom godine kao i rashode za zaposlene poput plaća i ostalih materijalnih prava prema Kolektivnim ugovorima i ostalim važećim propisima. Ovaj program financira se iz raznih izvora, a u 202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. godin</w:t>
      </w:r>
      <w:r w:rsidR="000B005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ostvareno je </w:t>
      </w:r>
      <w:r w:rsidR="009A7CE7">
        <w:rPr>
          <w:rFonts w:ascii="Times New Roman" w:hAnsi="Times New Roman" w:cs="Times New Roman"/>
          <w:color w:val="auto"/>
          <w:sz w:val="24"/>
          <w:szCs w:val="24"/>
        </w:rPr>
        <w:t>98,98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% plana. Osnivač – PGŽ financira osnovnu djelatnost i troškove nastale u svezi iste kroz decentralizirana sredstva, MZO pokriva troškove zaposlenika, njihovih plaća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i ostalih materijalnih prava kroz Pomoći, a Škola, također, ostvaruje i vlastite prihode koji se troše prema potrebama Škole, </w:t>
      </w:r>
      <w:r w:rsidR="00BB26F1">
        <w:rPr>
          <w:rFonts w:ascii="Times New Roman" w:hAnsi="Times New Roman" w:cs="Times New Roman"/>
          <w:color w:val="auto"/>
          <w:sz w:val="24"/>
          <w:szCs w:val="24"/>
        </w:rPr>
        <w:t xml:space="preserve">pri čemu se vodi računa o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uređenj</w:t>
      </w:r>
      <w:r w:rsidR="00BB26F1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i unapređenj</w:t>
      </w:r>
      <w:r w:rsidR="00BB26F1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Škole. </w:t>
      </w:r>
    </w:p>
    <w:p w14:paraId="45F90816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B804B0" w14:textId="77777777" w:rsidR="00D56D20" w:rsidRDefault="00D56D20" w:rsidP="00D56D20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u 2024. godini provodi program Obilježavanje postignuća učenika i nastavnika odnosno aktivnost Natjecanja i smotre. U sklopu programa Škola organizira natjecanje </w:t>
      </w:r>
      <w:proofErr w:type="spellStart"/>
      <w:r>
        <w:rPr>
          <w:rFonts w:ascii="Times New Roman" w:hAnsi="Times New Roman"/>
          <w:sz w:val="24"/>
          <w:szCs w:val="24"/>
        </w:rPr>
        <w:t>WorldSkills</w:t>
      </w:r>
      <w:proofErr w:type="spellEnd"/>
      <w:r>
        <w:rPr>
          <w:rFonts w:ascii="Times New Roman" w:hAnsi="Times New Roman"/>
          <w:sz w:val="24"/>
          <w:szCs w:val="24"/>
        </w:rPr>
        <w:t xml:space="preserve"> Croatia za regiju 2. Primorska Hrvatska koji financira Primorsko - goranska županija, te državno natjecanje iz logike i filozofije koje financira Agencija za odgoj i obrazovanje. Ukupni ostvareni rashodi Programa iznose 1.238,72 eura.</w:t>
      </w:r>
    </w:p>
    <w:p w14:paraId="1798C5D5" w14:textId="77777777" w:rsidR="00D56D20" w:rsidRDefault="00D56D2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EA3373" w14:textId="4FC40DE8" w:rsidR="009E25B0" w:rsidRPr="000E0341" w:rsidRDefault="00D56D2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Unapređenje kvalitete odgojno obrazovnog sustava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ostvario je </w:t>
      </w:r>
      <w:r w:rsidR="00BB26F1">
        <w:rPr>
          <w:rFonts w:ascii="Times New Roman" w:hAnsi="Times New Roman" w:cs="Times New Roman"/>
          <w:color w:val="auto"/>
          <w:sz w:val="24"/>
          <w:szCs w:val="24"/>
        </w:rPr>
        <w:t>92,13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% planiranih rashoda. 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buhvaća troškove pomoćnika u nastavi za učenike koji ne mogu samostalno pratiti nastavni program, a koji se financira iz čak </w:t>
      </w:r>
      <w:r w:rsidR="00477889">
        <w:rPr>
          <w:rFonts w:ascii="Times New Roman" w:hAnsi="Times New Roman" w:cs="Times New Roman"/>
          <w:color w:val="auto"/>
          <w:sz w:val="24"/>
          <w:szCs w:val="24"/>
        </w:rPr>
        <w:t>četiri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izvora financiranja. Također, programe školskog kurikuluma koje provodi Osnivač </w:t>
      </w:r>
      <w:r w:rsidR="00477889">
        <w:rPr>
          <w:rFonts w:ascii="Times New Roman" w:hAnsi="Times New Roman" w:cs="Times New Roman"/>
          <w:color w:val="auto"/>
          <w:sz w:val="24"/>
          <w:szCs w:val="24"/>
        </w:rPr>
        <w:t xml:space="preserve">te 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program Osiguranje besplatnih zaliha </w:t>
      </w:r>
      <w:proofErr w:type="spellStart"/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>mensturalnih</w:t>
      </w:r>
      <w:proofErr w:type="spellEnd"/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higijenskih potrepština kojim se pokrivanju troškovi higijenskih uložaka za učenice financira Ministarstvo znanosti i obrazovanja. Dok </w:t>
      </w:r>
      <w:r>
        <w:rPr>
          <w:rFonts w:ascii="Times New Roman" w:hAnsi="Times New Roman" w:cs="Times New Roman"/>
          <w:color w:val="auto"/>
          <w:sz w:val="24"/>
          <w:szCs w:val="24"/>
        </w:rPr>
        <w:t>se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rojekt 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>RCK RECEPT financ</w:t>
      </w:r>
      <w:r>
        <w:rPr>
          <w:rFonts w:ascii="Times New Roman" w:hAnsi="Times New Roman" w:cs="Times New Roman"/>
          <w:color w:val="auto"/>
          <w:sz w:val="24"/>
          <w:szCs w:val="24"/>
        </w:rPr>
        <w:t>ira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kroz Pomoći, a također </w:t>
      </w:r>
      <w:r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9E25B0"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dio Programa za unapređenje kvalitete odgojno obrazovnog sustava čije je ostvarenje plana rashoda</w:t>
      </w:r>
      <w:r w:rsidR="00341DFC">
        <w:rPr>
          <w:rFonts w:ascii="Times New Roman" w:hAnsi="Times New Roman" w:cs="Times New Roman"/>
          <w:color w:val="auto"/>
          <w:sz w:val="24"/>
          <w:szCs w:val="24"/>
        </w:rPr>
        <w:t xml:space="preserve"> 67,21 postotnih poena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41DFC">
        <w:rPr>
          <w:rFonts w:ascii="Times New Roman" w:hAnsi="Times New Roman" w:cs="Times New Roman"/>
          <w:color w:val="auto"/>
          <w:sz w:val="24"/>
          <w:szCs w:val="24"/>
        </w:rPr>
        <w:t>U sklopu aktivnosti EU projekti Škola provodi projekt Erasmus + te je preneseni manjak iz 2023. godine u iznosu od 395,96 eura koji se odnosi na spomenuti projekt u cijelosti pokriven prihodima projekta tijekom 2024. godine.</w:t>
      </w:r>
    </w:p>
    <w:p w14:paraId="65C4B005" w14:textId="77777777" w:rsidR="009E25B0" w:rsidRPr="00EA5DF5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A1A993" w14:textId="77777777" w:rsidR="00CE1636" w:rsidRPr="00EA49C3" w:rsidRDefault="009E25B0" w:rsidP="009E25B0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A5DF5">
        <w:rPr>
          <w:rFonts w:ascii="Times New Roman" w:hAnsi="Times New Roman" w:cs="Times New Roman"/>
          <w:color w:val="auto"/>
          <w:sz w:val="24"/>
          <w:szCs w:val="24"/>
        </w:rPr>
        <w:t>Program Kapitalna ulaganja u odgojno obrazovnu infrastrukturu su rashodi za nabavu dugotrajne imovine koja se nabavlja iz raznih izvora financiranja pri čemu najznačajniju ulogu imaju</w:t>
      </w:r>
      <w:r w:rsidR="00A136B4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 sredstva osnivača,</w:t>
      </w:r>
      <w:r w:rsidR="00D615FA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DF5">
        <w:rPr>
          <w:rFonts w:ascii="Times New Roman" w:hAnsi="Times New Roman" w:cs="Times New Roman"/>
          <w:color w:val="auto"/>
          <w:sz w:val="24"/>
          <w:szCs w:val="24"/>
        </w:rPr>
        <w:t>vlastita sredstva</w:t>
      </w:r>
      <w:r w:rsidR="004D0733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, pomoći </w:t>
      </w:r>
      <w:r w:rsidR="00D56D20" w:rsidRPr="00EA5DF5">
        <w:rPr>
          <w:rFonts w:ascii="Times New Roman" w:hAnsi="Times New Roman" w:cs="Times New Roman"/>
          <w:color w:val="auto"/>
          <w:sz w:val="24"/>
          <w:szCs w:val="24"/>
        </w:rPr>
        <w:t>te donacije</w:t>
      </w:r>
      <w:r w:rsidR="002424DE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. U 2024. godini osnivač je financirao nabavu dva multifunkcijska uređaja </w:t>
      </w:r>
      <w:r w:rsidR="00E92E50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proofErr w:type="spellStart"/>
      <w:r w:rsidR="002424DE" w:rsidRPr="00EA5DF5">
        <w:rPr>
          <w:rFonts w:ascii="Times New Roman" w:hAnsi="Times New Roman" w:cs="Times New Roman"/>
          <w:color w:val="auto"/>
          <w:sz w:val="24"/>
          <w:szCs w:val="24"/>
        </w:rPr>
        <w:t>printanje</w:t>
      </w:r>
      <w:proofErr w:type="spellEnd"/>
      <w:r w:rsidR="002424DE" w:rsidRPr="00EA5DF5">
        <w:rPr>
          <w:rFonts w:ascii="Times New Roman" w:hAnsi="Times New Roman" w:cs="Times New Roman"/>
          <w:color w:val="auto"/>
          <w:sz w:val="24"/>
          <w:szCs w:val="24"/>
        </w:rPr>
        <w:t>, kopiranje i skeniranje u vrijednosti 4.500,00</w:t>
      </w:r>
      <w:r w:rsidR="00EA5DF5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="002424DE" w:rsidRPr="00EA5DF5">
        <w:rPr>
          <w:rFonts w:ascii="Times New Roman" w:hAnsi="Times New Roman" w:cs="Times New Roman"/>
          <w:color w:val="auto"/>
          <w:sz w:val="24"/>
          <w:szCs w:val="24"/>
        </w:rPr>
        <w:t>. Iz</w:t>
      </w:r>
      <w:r w:rsidR="00E92E50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 vlastitih sredstava su nabavljene knjige za knjižnicu, robot za informatiku, oprema za radionicu vodoinstalatera i dva nogometna gola ukupne vrijednosti 1.611,02 eura.</w:t>
      </w:r>
      <w:r w:rsidR="00EA5DF5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5DF5" w:rsidRPr="00EA5DF5">
        <w:rPr>
          <w:rFonts w:ascii="Times New Roman" w:hAnsi="Times New Roman" w:cs="Times New Roman"/>
          <w:bCs/>
          <w:color w:val="auto"/>
          <w:sz w:val="24"/>
          <w:szCs w:val="24"/>
        </w:rPr>
        <w:t>Škola je u 2024. godini ostvarila kapitalne donacije od trgovačkih društava u sklopu projekta CARING – Preispitivanje društvenih i rodnih normi za smanjenje nasilja nad mladima u školi, u iznosu od 2.163,72 eura</w:t>
      </w:r>
      <w:r w:rsidR="00EA5DF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8B0374" w:rsidRPr="008B03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Također,  Škola je krajem godine dobila sredstva </w:t>
      </w:r>
      <w:r w:rsidR="008B03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od Ministarstva </w:t>
      </w:r>
      <w:r w:rsidR="008B0374" w:rsidRPr="008B0374">
        <w:rPr>
          <w:rFonts w:ascii="Times New Roman" w:hAnsi="Times New Roman" w:cs="Times New Roman"/>
          <w:bCs/>
          <w:color w:val="auto"/>
          <w:sz w:val="24"/>
          <w:szCs w:val="24"/>
        </w:rPr>
        <w:t>za opremanje školske knjižnice obveznom lektirom i stručnom literaturom i sredstva za nabavu udžbenika za socijalno ugrože</w:t>
      </w:r>
      <w:r w:rsidR="007B7A9F">
        <w:rPr>
          <w:rFonts w:ascii="Times New Roman" w:hAnsi="Times New Roman" w:cs="Times New Roman"/>
          <w:bCs/>
          <w:color w:val="auto"/>
          <w:sz w:val="24"/>
          <w:szCs w:val="24"/>
        </w:rPr>
        <w:t>ne</w:t>
      </w:r>
      <w:r w:rsidR="008B0374" w:rsidRPr="008B03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učeni</w:t>
      </w:r>
      <w:r w:rsidR="008B0374">
        <w:rPr>
          <w:rFonts w:ascii="Times New Roman" w:hAnsi="Times New Roman" w:cs="Times New Roman"/>
          <w:bCs/>
          <w:color w:val="auto"/>
          <w:sz w:val="24"/>
          <w:szCs w:val="24"/>
        </w:rPr>
        <w:t>k</w:t>
      </w:r>
      <w:r w:rsidR="007B7A9F">
        <w:rPr>
          <w:rFonts w:ascii="Times New Roman" w:hAnsi="Times New Roman" w:cs="Times New Roman"/>
          <w:bCs/>
          <w:color w:val="auto"/>
          <w:sz w:val="24"/>
          <w:szCs w:val="24"/>
        </w:rPr>
        <w:t>e</w:t>
      </w:r>
      <w:r w:rsidR="008B037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355785" w:rsidRPr="00355785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="00355785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Ukupno izvršenje </w:t>
      </w:r>
      <w:r w:rsidR="00355785" w:rsidRPr="00355785">
        <w:rPr>
          <w:rFonts w:ascii="Times New Roman" w:hAnsi="Times New Roman" w:cs="Times New Roman"/>
          <w:bCs/>
          <w:color w:val="auto"/>
          <w:sz w:val="24"/>
          <w:szCs w:val="24"/>
        </w:rPr>
        <w:t>program</w:t>
      </w:r>
      <w:r w:rsidR="003557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</w:t>
      </w:r>
      <w:r w:rsidR="00355785" w:rsidRPr="00EA5DF5">
        <w:rPr>
          <w:rFonts w:ascii="Times New Roman" w:hAnsi="Times New Roman" w:cs="Times New Roman"/>
          <w:color w:val="auto"/>
          <w:sz w:val="24"/>
          <w:szCs w:val="24"/>
        </w:rPr>
        <w:t xml:space="preserve">Kapitalna ulaganja u odgojno obrazovnu infrastrukturu </w:t>
      </w:r>
      <w:r w:rsidR="00355785" w:rsidRPr="003557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 </w:t>
      </w:r>
      <w:r w:rsidR="00380274">
        <w:rPr>
          <w:rFonts w:ascii="Times New Roman" w:hAnsi="Times New Roman" w:cs="Times New Roman"/>
          <w:bCs/>
          <w:color w:val="auto"/>
          <w:sz w:val="24"/>
          <w:szCs w:val="24"/>
        </w:rPr>
        <w:t>98,60 postotnih poena.</w:t>
      </w:r>
    </w:p>
    <w:p w14:paraId="65F34C9C" w14:textId="77777777" w:rsidR="00EA49C3" w:rsidRDefault="00EA49C3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CEDF34" w14:textId="77777777" w:rsidR="00C509E1" w:rsidRPr="000E0341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55A243" w14:textId="77777777" w:rsidR="00EA49C3" w:rsidRDefault="009E25B0" w:rsidP="009E25B0">
      <w:pPr>
        <w:spacing w:line="312" w:lineRule="auto"/>
        <w:jc w:val="both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r w:rsidRPr="000E0341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lastRenderedPageBreak/>
        <w:t>POSEBNI IZVJEŠTAJI</w:t>
      </w:r>
    </w:p>
    <w:p w14:paraId="483EAC0C" w14:textId="77777777" w:rsidR="00C509E1" w:rsidRDefault="00C509E1" w:rsidP="009E25B0">
      <w:pPr>
        <w:spacing w:line="312" w:lineRule="auto"/>
        <w:jc w:val="both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</w:p>
    <w:p w14:paraId="275B1BAE" w14:textId="77777777" w:rsidR="00C509E1" w:rsidRPr="00282E09" w:rsidRDefault="00C509E1" w:rsidP="009E25B0">
      <w:pPr>
        <w:spacing w:line="312" w:lineRule="auto"/>
        <w:jc w:val="both"/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</w:pPr>
    </w:p>
    <w:p w14:paraId="6D41BB73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  <w:u w:val="single"/>
        </w:rPr>
        <w:t>Izvještaj o zaduživanju na domaćem i stranom tržištu novca i kapitala u 202</w:t>
      </w:r>
      <w:r w:rsidR="003330F9">
        <w:rPr>
          <w:rFonts w:ascii="Times New Roman" w:hAnsi="Times New Roman" w:cs="Times New Roman"/>
          <w:color w:val="auto"/>
          <w:sz w:val="24"/>
          <w:szCs w:val="24"/>
          <w:u w:val="single"/>
        </w:rPr>
        <w:t>4</w:t>
      </w:r>
      <w:r w:rsidRPr="000E0341">
        <w:rPr>
          <w:rFonts w:ascii="Times New Roman" w:hAnsi="Times New Roman" w:cs="Times New Roman"/>
          <w:color w:val="auto"/>
          <w:sz w:val="24"/>
          <w:szCs w:val="24"/>
          <w:u w:val="single"/>
        </w:rPr>
        <w:t>. godini</w:t>
      </w:r>
    </w:p>
    <w:p w14:paraId="0DC1116F" w14:textId="77777777" w:rsidR="009E25B0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U izvještajnom razdoblju Srednja škola dr. Antuna Barca nije se zaduživala niti davala zajmove, stoga nema posebnih izvještaja za navedeno. </w:t>
      </w:r>
    </w:p>
    <w:p w14:paraId="42C67D1B" w14:textId="77777777" w:rsidR="00C509E1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BA4DF9" w14:textId="77777777" w:rsidR="00C509E1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4E2924" w14:textId="77777777" w:rsidR="0048398D" w:rsidRDefault="0048398D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8398D">
        <w:rPr>
          <w:rFonts w:ascii="Times New Roman" w:hAnsi="Times New Roman" w:cs="Times New Roman"/>
          <w:color w:val="auto"/>
          <w:sz w:val="24"/>
          <w:szCs w:val="24"/>
          <w:u w:val="single"/>
        </w:rPr>
        <w:t>Izvještaj o korištenju sredstava fondova Europske unije</w:t>
      </w:r>
    </w:p>
    <w:p w14:paraId="2A8D2232" w14:textId="77777777" w:rsidR="0048398D" w:rsidRDefault="0048398D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Škola je u 2024. godini provodila projekt Erasmus +</w:t>
      </w:r>
      <w:r w:rsidR="007C4190">
        <w:rPr>
          <w:rFonts w:ascii="Times New Roman" w:hAnsi="Times New Roman" w:cs="Times New Roman"/>
          <w:color w:val="auto"/>
          <w:sz w:val="24"/>
          <w:szCs w:val="24"/>
        </w:rPr>
        <w:t>. Ukupni prihodi projekta u 2024. godini su 2.809,80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4190">
        <w:rPr>
          <w:rFonts w:ascii="Times New Roman" w:hAnsi="Times New Roman" w:cs="Times New Roman"/>
          <w:color w:val="auto"/>
          <w:sz w:val="24"/>
          <w:szCs w:val="24"/>
        </w:rPr>
        <w:t>čime je pokriven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prenesen</w:t>
      </w:r>
      <w:r w:rsidR="007C4190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manjak iz 2023. godine u iznosu od 395,96 eura</w:t>
      </w:r>
      <w:r w:rsidR="007C4190">
        <w:rPr>
          <w:rFonts w:ascii="Times New Roman" w:hAnsi="Times New Roman" w:cs="Times New Roman"/>
          <w:color w:val="auto"/>
          <w:sz w:val="24"/>
          <w:szCs w:val="24"/>
        </w:rPr>
        <w:t xml:space="preserve">, te </w:t>
      </w:r>
      <w:r>
        <w:rPr>
          <w:rFonts w:ascii="Times New Roman" w:hAnsi="Times New Roman" w:cs="Times New Roman"/>
          <w:color w:val="auto"/>
          <w:sz w:val="24"/>
          <w:szCs w:val="24"/>
        </w:rPr>
        <w:t>je ostvaren dodani prihod od 2.413,84 eura po završnom izvješću projekta koji je u cijelosti potrošen u 2024. godini.</w:t>
      </w:r>
    </w:p>
    <w:p w14:paraId="0365A305" w14:textId="77777777" w:rsidR="007C4190" w:rsidRDefault="007C419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2BBBE6" w14:textId="77777777" w:rsidR="00C509E1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D45287" w14:textId="77777777" w:rsidR="007C4190" w:rsidRDefault="007C419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C4190">
        <w:rPr>
          <w:rFonts w:ascii="Times New Roman" w:hAnsi="Times New Roman" w:cs="Times New Roman"/>
          <w:color w:val="auto"/>
          <w:sz w:val="24"/>
          <w:szCs w:val="24"/>
          <w:u w:val="single"/>
        </w:rPr>
        <w:t>Izvještaj o danim zajmovima i potraživanjima po danim zajmovima</w:t>
      </w:r>
    </w:p>
    <w:p w14:paraId="096ED525" w14:textId="77777777" w:rsidR="009E25B0" w:rsidRDefault="007C419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4190">
        <w:rPr>
          <w:rFonts w:ascii="Times New Roman" w:hAnsi="Times New Roman" w:cs="Times New Roman"/>
          <w:color w:val="auto"/>
          <w:sz w:val="24"/>
          <w:szCs w:val="24"/>
        </w:rPr>
        <w:t>Škola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nema dane zajmove i potraživanja.</w:t>
      </w:r>
    </w:p>
    <w:p w14:paraId="7BF3A695" w14:textId="77777777" w:rsidR="007C4190" w:rsidRDefault="007C419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4AA088" w14:textId="77777777" w:rsidR="00C509E1" w:rsidRPr="000E0341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FD6BBB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  <w:u w:val="single"/>
        </w:rPr>
        <w:t>Izvještaj o stanju potraživanja i dospjelih obveza te o stanju potencijalnih obveza po osnovi sudskih sporova</w:t>
      </w:r>
    </w:p>
    <w:p w14:paraId="0F1AB51C" w14:textId="77777777" w:rsidR="009E25B0" w:rsidRPr="000E0341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U tijeku je jedan sudski spor između Srednje škole dr. Antuna Barca i fizičke osobe, započet 2017. godine, kako je prikazan</w:t>
      </w:r>
      <w:r w:rsidR="00461BFE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u Posebnom izvještaju o stanju potraživanja i dospjelih obveza, te o potencijalnim obvezama po sudskim sporovima.  </w:t>
      </w:r>
    </w:p>
    <w:p w14:paraId="0EA2B44A" w14:textId="77777777" w:rsidR="009E25B0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EB2871" w14:textId="77777777" w:rsidR="00C509E1" w:rsidRPr="0048398D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27B3B4F" w14:textId="77777777" w:rsidR="009E25B0" w:rsidRPr="0048398D" w:rsidRDefault="009E25B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8398D">
        <w:rPr>
          <w:rFonts w:ascii="Times New Roman" w:hAnsi="Times New Roman" w:cs="Times New Roman"/>
          <w:color w:val="auto"/>
          <w:sz w:val="24"/>
          <w:szCs w:val="24"/>
          <w:u w:val="single"/>
        </w:rPr>
        <w:t>Izvještaj o stanju potraživanja i dospjelih obveza</w:t>
      </w:r>
    </w:p>
    <w:p w14:paraId="2C9F31BF" w14:textId="77777777" w:rsidR="007C4190" w:rsidRDefault="009E25B0" w:rsidP="00461BF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398D">
        <w:rPr>
          <w:rFonts w:ascii="Times New Roman" w:hAnsi="Times New Roman" w:cs="Times New Roman"/>
          <w:color w:val="auto"/>
          <w:sz w:val="24"/>
          <w:szCs w:val="24"/>
        </w:rPr>
        <w:t>Škola svoje obve</w:t>
      </w:r>
      <w:r w:rsidR="00752C2D" w:rsidRPr="0048398D">
        <w:rPr>
          <w:rFonts w:ascii="Times New Roman" w:hAnsi="Times New Roman" w:cs="Times New Roman"/>
          <w:color w:val="auto"/>
          <w:sz w:val="24"/>
          <w:szCs w:val="24"/>
        </w:rPr>
        <w:t>ze</w:t>
      </w:r>
      <w:r w:rsidRPr="0048398D">
        <w:rPr>
          <w:rFonts w:ascii="Times New Roman" w:hAnsi="Times New Roman" w:cs="Times New Roman"/>
          <w:color w:val="auto"/>
          <w:sz w:val="24"/>
          <w:szCs w:val="24"/>
        </w:rPr>
        <w:t xml:space="preserve"> redovito podmiruje. </w:t>
      </w:r>
      <w:r w:rsidR="00461BFE" w:rsidRPr="0048398D">
        <w:rPr>
          <w:rFonts w:ascii="Times New Roman" w:hAnsi="Times New Roman" w:cs="Times New Roman"/>
          <w:color w:val="auto"/>
          <w:sz w:val="24"/>
          <w:szCs w:val="24"/>
        </w:rPr>
        <w:t xml:space="preserve">Na dan 31.12.2024. godine Obveze Škole iznose </w:t>
      </w:r>
      <w:r w:rsidR="00E140FD" w:rsidRPr="0048398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123.417,90 </w:t>
      </w:r>
      <w:r w:rsidR="00461BFE" w:rsidRPr="0048398D">
        <w:rPr>
          <w:rFonts w:ascii="Times New Roman" w:hAnsi="Times New Roman" w:cs="Times New Roman"/>
          <w:color w:val="auto"/>
          <w:sz w:val="24"/>
          <w:szCs w:val="24"/>
        </w:rPr>
        <w:t>eura</w:t>
      </w:r>
      <w:r w:rsidR="00E140FD" w:rsidRPr="0048398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koje dospijevaju u siječnju 2024. godine</w:t>
      </w:r>
      <w:r w:rsidR="00461BFE" w:rsidRPr="0048398D">
        <w:rPr>
          <w:rFonts w:ascii="Times New Roman" w:hAnsi="Times New Roman" w:cs="Times New Roman"/>
          <w:color w:val="auto"/>
          <w:sz w:val="24"/>
          <w:szCs w:val="24"/>
        </w:rPr>
        <w:t xml:space="preserve">. Nenaplaćena dospjela potraživanja Škole odnose se na prihode od najma dvorane te iznose </w:t>
      </w:r>
      <w:r w:rsidR="00C25782" w:rsidRPr="0048398D">
        <w:rPr>
          <w:rFonts w:ascii="Times New Roman" w:hAnsi="Times New Roman" w:cs="Times New Roman"/>
          <w:color w:val="auto"/>
          <w:sz w:val="24"/>
          <w:szCs w:val="24"/>
        </w:rPr>
        <w:t xml:space="preserve">1.122,75 </w:t>
      </w:r>
      <w:r w:rsidR="00461BFE" w:rsidRPr="0048398D">
        <w:rPr>
          <w:rFonts w:ascii="Times New Roman" w:hAnsi="Times New Roman" w:cs="Times New Roman"/>
          <w:color w:val="auto"/>
          <w:sz w:val="24"/>
          <w:szCs w:val="24"/>
        </w:rPr>
        <w:t>eura. Za navedena potraživanja poduz</w:t>
      </w:r>
      <w:r w:rsidR="00E35EC4" w:rsidRPr="0048398D">
        <w:rPr>
          <w:rFonts w:ascii="Times New Roman" w:hAnsi="Times New Roman" w:cs="Times New Roman"/>
          <w:color w:val="auto"/>
          <w:sz w:val="24"/>
          <w:szCs w:val="24"/>
        </w:rPr>
        <w:t>imaju</w:t>
      </w:r>
      <w:r w:rsidR="00461BFE" w:rsidRPr="004839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C4" w:rsidRPr="0048398D">
        <w:rPr>
          <w:rFonts w:ascii="Times New Roman" w:hAnsi="Times New Roman" w:cs="Times New Roman"/>
          <w:color w:val="auto"/>
          <w:sz w:val="24"/>
          <w:szCs w:val="24"/>
        </w:rPr>
        <w:t>se</w:t>
      </w:r>
      <w:r w:rsidR="00461BFE" w:rsidRPr="0048398D">
        <w:rPr>
          <w:rFonts w:ascii="Times New Roman" w:hAnsi="Times New Roman" w:cs="Times New Roman"/>
          <w:color w:val="auto"/>
          <w:sz w:val="24"/>
          <w:szCs w:val="24"/>
        </w:rPr>
        <w:t xml:space="preserve"> radnje da se naplat</w:t>
      </w:r>
      <w:r w:rsidR="00D14D70" w:rsidRPr="0048398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461BFE" w:rsidRPr="0048398D">
        <w:rPr>
          <w:rFonts w:ascii="Times New Roman" w:hAnsi="Times New Roman" w:cs="Times New Roman"/>
          <w:color w:val="auto"/>
          <w:sz w:val="24"/>
          <w:szCs w:val="24"/>
        </w:rPr>
        <w:t xml:space="preserve"> u što bržem roku u narednom razdoblju.</w:t>
      </w:r>
    </w:p>
    <w:p w14:paraId="72444360" w14:textId="77777777" w:rsidR="00282E09" w:rsidRDefault="00282E09" w:rsidP="00461BF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D9B5A8" w14:textId="77777777" w:rsidR="00C509E1" w:rsidRDefault="00C509E1" w:rsidP="00461BF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1ACA92" w14:textId="77777777" w:rsidR="00C509E1" w:rsidRDefault="00C509E1" w:rsidP="00461BF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DA0308" w14:textId="77777777" w:rsidR="007C4190" w:rsidRDefault="007C4190" w:rsidP="00461BFE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C4190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Izvještaj o danim jamstvima i plaćanjima po protestnim jamstvima.</w:t>
      </w:r>
    </w:p>
    <w:p w14:paraId="3AB30207" w14:textId="77777777" w:rsidR="009E25B0" w:rsidRDefault="007C4190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4190">
        <w:rPr>
          <w:rFonts w:ascii="Times New Roman" w:hAnsi="Times New Roman" w:cs="Times New Roman"/>
          <w:color w:val="auto"/>
          <w:sz w:val="24"/>
          <w:szCs w:val="24"/>
        </w:rPr>
        <w:t>Škola nema dana jamstva.</w:t>
      </w:r>
    </w:p>
    <w:p w14:paraId="0061A242" w14:textId="77777777" w:rsidR="00C509E1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9A7E0A" w14:textId="77777777" w:rsidR="00C509E1" w:rsidRPr="000E0341" w:rsidRDefault="00C509E1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E22B17" w14:textId="77777777" w:rsidR="00EA49C3" w:rsidRDefault="00EA49C3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9BD0F8" w14:textId="77777777" w:rsidR="00EA49C3" w:rsidRDefault="00EA49C3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AC9C19" w14:textId="77777777" w:rsidR="00EA49C3" w:rsidRPr="000E0341" w:rsidRDefault="00EA49C3" w:rsidP="009E25B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ED5B67" w14:textId="77777777" w:rsidR="009E25B0" w:rsidRPr="000E0341" w:rsidRDefault="009E25B0" w:rsidP="00EA49C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Crikvenica, 2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>ožujka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2D50D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E03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D83C9B" w14:textId="77777777" w:rsidR="009E25B0" w:rsidRPr="000E0341" w:rsidRDefault="009E25B0" w:rsidP="00282E09">
      <w:pPr>
        <w:spacing w:line="360" w:lineRule="auto"/>
        <w:ind w:left="648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Ravnateljica</w:t>
      </w:r>
    </w:p>
    <w:p w14:paraId="3299FD5F" w14:textId="77777777" w:rsidR="009E25B0" w:rsidRPr="000E0341" w:rsidRDefault="009E25B0" w:rsidP="009E25B0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99F11D" w14:textId="77777777" w:rsidR="0003190B" w:rsidRPr="00282E09" w:rsidRDefault="009E25B0" w:rsidP="00282E09">
      <w:pP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E0341">
        <w:rPr>
          <w:rFonts w:ascii="Times New Roman" w:hAnsi="Times New Roman" w:cs="Times New Roman"/>
          <w:color w:val="auto"/>
          <w:sz w:val="24"/>
          <w:szCs w:val="24"/>
        </w:rPr>
        <w:t>Ana Tomić Njegovan, prof.</w:t>
      </w:r>
    </w:p>
    <w:sectPr w:rsidR="0003190B" w:rsidRPr="00282E09">
      <w:headerReference w:type="default" r:id="rId8"/>
      <w:footerReference w:type="default" r:id="rId9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7109" w14:textId="77777777" w:rsidR="00B56C03" w:rsidRDefault="00B56C03">
      <w:pPr>
        <w:spacing w:line="240" w:lineRule="auto"/>
      </w:pPr>
      <w:r>
        <w:separator/>
      </w:r>
    </w:p>
  </w:endnote>
  <w:endnote w:type="continuationSeparator" w:id="0">
    <w:p w14:paraId="1E758F7C" w14:textId="77777777" w:rsidR="00B56C03" w:rsidRDefault="00B56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5959" w14:textId="77777777"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CB1A" w14:textId="77777777" w:rsidR="00B56C03" w:rsidRDefault="00B56C03">
      <w:pPr>
        <w:spacing w:line="240" w:lineRule="auto"/>
      </w:pPr>
      <w:r>
        <w:separator/>
      </w:r>
    </w:p>
  </w:footnote>
  <w:footnote w:type="continuationSeparator" w:id="0">
    <w:p w14:paraId="05BC8E67" w14:textId="77777777" w:rsidR="00B56C03" w:rsidRDefault="00B56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29E7" w14:textId="77777777"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 wp14:anchorId="046DEC3C" wp14:editId="080C5F9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 wp14:anchorId="5DBADFC4" wp14:editId="652754D7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9E8"/>
    <w:multiLevelType w:val="hybridMultilevel"/>
    <w:tmpl w:val="6E088244"/>
    <w:lvl w:ilvl="0" w:tplc="41A6DB0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6381F"/>
    <w:rsid w:val="000847B9"/>
    <w:rsid w:val="000B005B"/>
    <w:rsid w:val="000E0341"/>
    <w:rsid w:val="0012043D"/>
    <w:rsid w:val="00141E2A"/>
    <w:rsid w:val="00160576"/>
    <w:rsid w:val="001773D3"/>
    <w:rsid w:val="00191FC2"/>
    <w:rsid w:val="00193DE3"/>
    <w:rsid w:val="00195F49"/>
    <w:rsid w:val="001A3B56"/>
    <w:rsid w:val="001D0498"/>
    <w:rsid w:val="001E68B8"/>
    <w:rsid w:val="00227976"/>
    <w:rsid w:val="002424DE"/>
    <w:rsid w:val="00272924"/>
    <w:rsid w:val="00282E09"/>
    <w:rsid w:val="002D50DA"/>
    <w:rsid w:val="00316432"/>
    <w:rsid w:val="003330F9"/>
    <w:rsid w:val="00341DFC"/>
    <w:rsid w:val="00355785"/>
    <w:rsid w:val="00380274"/>
    <w:rsid w:val="003B753F"/>
    <w:rsid w:val="00461BFE"/>
    <w:rsid w:val="00465747"/>
    <w:rsid w:val="00477889"/>
    <w:rsid w:val="0048398D"/>
    <w:rsid w:val="004D0733"/>
    <w:rsid w:val="004D4CB5"/>
    <w:rsid w:val="004E5574"/>
    <w:rsid w:val="0051305A"/>
    <w:rsid w:val="005209CD"/>
    <w:rsid w:val="00545F9F"/>
    <w:rsid w:val="00577822"/>
    <w:rsid w:val="005A776A"/>
    <w:rsid w:val="005B4F89"/>
    <w:rsid w:val="005E3765"/>
    <w:rsid w:val="005E53C5"/>
    <w:rsid w:val="005F729C"/>
    <w:rsid w:val="00612770"/>
    <w:rsid w:val="0068612B"/>
    <w:rsid w:val="00752C2D"/>
    <w:rsid w:val="007629FB"/>
    <w:rsid w:val="007B7A9F"/>
    <w:rsid w:val="007C33D0"/>
    <w:rsid w:val="007C4190"/>
    <w:rsid w:val="00863BA4"/>
    <w:rsid w:val="008A40CF"/>
    <w:rsid w:val="008B0374"/>
    <w:rsid w:val="008B4F0C"/>
    <w:rsid w:val="00907715"/>
    <w:rsid w:val="00941089"/>
    <w:rsid w:val="0098725B"/>
    <w:rsid w:val="009A1F4B"/>
    <w:rsid w:val="009A7CE7"/>
    <w:rsid w:val="009E25B0"/>
    <w:rsid w:val="00A136B4"/>
    <w:rsid w:val="00A27BC3"/>
    <w:rsid w:val="00A41BAD"/>
    <w:rsid w:val="00A50E96"/>
    <w:rsid w:val="00A52196"/>
    <w:rsid w:val="00A77AB4"/>
    <w:rsid w:val="00AB4044"/>
    <w:rsid w:val="00B023E2"/>
    <w:rsid w:val="00B56C03"/>
    <w:rsid w:val="00B72973"/>
    <w:rsid w:val="00B741E5"/>
    <w:rsid w:val="00BB26F1"/>
    <w:rsid w:val="00C25782"/>
    <w:rsid w:val="00C4159F"/>
    <w:rsid w:val="00C509E1"/>
    <w:rsid w:val="00C63AB4"/>
    <w:rsid w:val="00CD613D"/>
    <w:rsid w:val="00CE1636"/>
    <w:rsid w:val="00D14D70"/>
    <w:rsid w:val="00D405E9"/>
    <w:rsid w:val="00D56D20"/>
    <w:rsid w:val="00D615FA"/>
    <w:rsid w:val="00D67444"/>
    <w:rsid w:val="00DF7F47"/>
    <w:rsid w:val="00E140FD"/>
    <w:rsid w:val="00E35EC4"/>
    <w:rsid w:val="00E4166F"/>
    <w:rsid w:val="00E565A7"/>
    <w:rsid w:val="00E92E50"/>
    <w:rsid w:val="00EA49C3"/>
    <w:rsid w:val="00EA5DF5"/>
    <w:rsid w:val="00EB564C"/>
    <w:rsid w:val="00F06A23"/>
    <w:rsid w:val="00F41124"/>
    <w:rsid w:val="00F41AA6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2139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Bezproreda">
    <w:name w:val="No Spacing"/>
    <w:uiPriority w:val="1"/>
    <w:qFormat/>
    <w:rsid w:val="005E3765"/>
    <w:pPr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637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Računovodstvo</cp:lastModifiedBy>
  <cp:revision>28</cp:revision>
  <cp:lastPrinted>2024-07-30T08:17:00Z</cp:lastPrinted>
  <dcterms:created xsi:type="dcterms:W3CDTF">2025-03-29T08:58:00Z</dcterms:created>
  <dcterms:modified xsi:type="dcterms:W3CDTF">2025-03-31T07:20:00Z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