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e4c9bfe7c3f4ef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17110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dr. ANTUNA BARCA CRIKVENICA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1.429.974,25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1.537.177,56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1.420.921,25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1.652.315,19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115.137,63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14.252,47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18.134,06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5.199,47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133.271,69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2563,2</w:t>
            </w:r>
          </w:p>
        </w:tc>
      </w:tr>
    </w:tbl>
    <w:p>
      <w:pPr>
        <w:spacing w:before="0" w:after="0"/>
      </w:pPr>
    </w:p>
    <w:p>
      <w:r>
        <w:t xml:space="preserve">U razdoblju od 1. siječnja do 31.prosinca 2025. prihodi poslovanja ostvareni su u iznosu od 1.537.177,56 EUR.  Najznačajnije povećanje prihoda poslovanja ostvareno je od tekućih pomoći iz državnog proračuna. Najznačajnije smanjenje prihoda poslovanja odnosi se na pomoći temeljem prijenosa EU sredstava i na prijenose između proračunskih korisnika istog proračuna iz razloga što u 2025. godini Škola ne sudjeluju u EU projektima. Rashodi poslovanja u razdoblju od 1. siječnja do 31.prosinca 2025. ostvareni su u iznosu od 1.652.315,19 EUR. Najznačajnije povećanje rashoda evidentirano je na rashodima za zaposlene uslijed povećanja plaća te većim dijelom zbog primjene novog Pravilnika o proračunskom računovodstvu i Računskom planu (NN.br. 158/23/, 154/24). Prema Pravilniku u 2025. godini je knjižen trošak za trinaest plaća (trošak plaće od prosinca 2024. godine do prosinca 2025. godine) dok je u prethodnoj godini knjižen trošak za jedanaest plaća. Najznačajnije smanjenje rashoda poslovanja bilježi se na rashodima za usluge  jer se u izvještajnom razdoblju ulagalo manje u tekuće i investicijsko održavanje. U navedenom razdoblju nema ostvarenih prihoda od prodaje nefinancijske imovine, dok su rashodi za nabavu nefinancijske imovine ostvareni u iznosu od 18.134,06 EUR. Navedeni rashod odnosi se na nabavu postrojenja i opreme. U navedenom razdoblju nije bilo ostvarenih primitaka i izdataka od financijske imovine i zaduživanja. U razdoblju od 1. siječnja do 31. prosinca 2025. ostvaren je manjak prihoda poslovanja u iznosu od 133.271,69  EUR i manjak prihoda od nefinancijske imovine u iznosu od 18.134,06 EUR, slijedom čega je na kraju izvještajnog razdoblja ostvaren ukupan manjak prihoda i primitaka u iznosu od 134.320,18 EUR. Dugi niz godina na kontu 98-Rezerviranja viška prihoda stoji saldo u iznosu od 101,98 euro te je u 2025. godini proveden ispravak iz prethodnih godina u korist poslovnog rezultata odnosno konta 922 za navedni iznos. Prema tome manjak prihoda za pokriće u sljedećem razdoblju iznosi 102.817,07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U 2025. godini škola nije ostvarila prihod za besplatne udžbenike učenika već samo prihode za nabavu lektira.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w:t>
            </w:r>
          </w:p>
        </w:tc>
      </w:tr>
    </w:tbl>
    <w:p>
      <w:pPr>
        <w:spacing w:before="0" w:after="0"/>
      </w:pPr>
    </w:p>
    <w:p>
      <w:r>
        <w:t xml:space="preserve">Smanjenje prihoda od imovine se odnosi na prihode od kamata na oročena sredstva i depozite po viđenju koji su manji zbog manje novčanih sredstva na računu u banci u 2025.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w:t>
            </w:r>
          </w:p>
        </w:tc>
      </w:tr>
    </w:tbl>
    <w:p>
      <w:pPr>
        <w:spacing w:before="0" w:after="0"/>
      </w:pPr>
    </w:p>
    <w:p>
      <w:r>
        <w:t xml:space="preserve">Prihodi od kamata na oročena sredstva i depozite po viđenju su manji zbog manje novčanih sredstva na računu u banci u 2025.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w:t>
            </w:r>
          </w:p>
        </w:tc>
      </w:tr>
    </w:tbl>
    <w:p>
      <w:pPr>
        <w:spacing w:before="0" w:after="0"/>
      </w:pPr>
    </w:p>
    <w:p>
      <w:r>
        <w:t xml:space="preserve">U 2025. godini organizirano je manje terenske nastave u odnosu na isto razdoblje 2024. godine, a to je razlog manjih ostalih nespomenutih prihoda.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škola je ostvarila prodaju proizvoda školske zadruge za razliku od prethodne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36.123,16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22.496,92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w:t>
            </w:r>
          </w:p>
        </w:tc>
      </w:tr>
    </w:tbl>
    <w:p>
      <w:pPr>
        <w:spacing w:before="0" w:after="0"/>
      </w:pPr>
    </w:p>
    <w:p>
      <w:r>
        <w:t xml:space="preserve">Prihodi od pruženih usluga veći su izvještajnom razdoblju prethodne godine s obzirom da je Škola u 2024. godini ostvarila prihod za iznajmljivanje školske dvorane sportskim klubovima za razdoblje od srpnja do prosinca prethodne godine što nije slučaj u 2025. godini. Također su prihodi od zakupnine krova za fotonaponske sustave manji u 2025. godini.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w:t>
            </w:r>
          </w:p>
        </w:tc>
      </w:tr>
    </w:tbl>
    <w:p>
      <w:pPr>
        <w:spacing w:before="0" w:after="0"/>
      </w:pPr>
    </w:p>
    <w:p>
      <w:r>
        <w:t xml:space="preserve">U 2025. godini je ostvarena jedna financijska donacija, dok je u 2024. godini ostvarena uz financijsku donaciju i kapitalna donacija.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w:t>
            </w:r>
          </w:p>
        </w:tc>
      </w:tr>
    </w:tbl>
    <w:p>
      <w:pPr>
        <w:spacing w:before="0" w:after="0"/>
      </w:pPr>
    </w:p>
    <w:p>
      <w:r>
        <w:t xml:space="preserve">Škola već godina ostvaruje financijsku donaciju sukladno broju učenika u programu kuhara i konobara.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ostvarena je kapitalna donacija što nije slučaj u 2025. g.</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158.599,79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w:t>
            </w:r>
          </w:p>
        </w:tc>
      </w:tr>
    </w:tbl>
    <w:p>
      <w:pPr>
        <w:spacing w:before="0" w:after="0"/>
      </w:pPr>
    </w:p>
    <w:p>
      <w:r>
        <w:t xml:space="preserve">Prihodi iz nadležnog proračuna za financiranje rashoda poslovanja su veći u 2025. godini zbog većih materijalnih rashoda i zbog finaciranja 5 pomoćnika u školskoj godini 2025/2026. u odnosu na prijašnja 2 pomoćnika u nastavi.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w:t>
            </w:r>
          </w:p>
        </w:tc>
      </w:tr>
    </w:tbl>
    <w:p>
      <w:pPr>
        <w:spacing w:before="0" w:after="0"/>
      </w:pPr>
    </w:p>
    <w:p>
      <w:r>
        <w:t xml:space="preserve">Prihodi iz nadležnog proračuna za financiranje rashoda za nabavu nefinancijske imovine su manji za 2025. godinu prema planu opremanja Primorsko-goranske županije sukladno Odluci o kriterijima, mjerilima i načinu financiranja minimalnog financijskog standarda za decentralizirane funkcije osnovnog  i srednjeg školstva u 2025. godini.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1.249.350,92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1.491.502,39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Donošenjem Uredbe o nazivima radnih mjesta, uvjetima za raspored i koeficijentima za obračun plaće u državnoj službi (NN22/24) povećani su rashodi za plaće i doprinose zaposlenika. Također prema novom Pravilniku o proračunskom računovodstvu i Računskom planu (NN.br. 158/23/, 154/24) u 2025. godini je knjižen trošak za trinaest plaća (trošak plaće od prosinca 2024. godine do prosinca 2025. godine) dok je u prethodnoj godini knjižen trošak za jedanaest plaća. Plaća  za prosinac 2024. godine se  knjižila na konto 193- Kontinuirani rashodi budućih razdoblja koji se od 01.01.2025. više ne koristi.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43.421,97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Ostali rashodi za zaposlene viši su zbog povećanja iznosa za isplatu jubilarnih nagrada te zbog isplate otpremnina u 2025. godini. Također je više zaposlenika ostvarilo pravo na isplatu materijalnih prava  u odnosu na 2024. godinu.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170.796,80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204.042,74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Donošenjem Uredbe o nazivima radnih mjesta, uvjetima za raspored i koeficijentima za obračun plaće u državnoj službi (NN22/24) povećani su rashodi za plaće i doprinose zaposlenika. Također prema novom Pravilniku o proračunskom računovodstvu i Računskom planu (NN.br. 158/23/, 154/24) u 2025. godini je knjižen trošak za deset plaća i doprinosa na plaću (trošak plaće od prosinca 2024. godine do prosinca 2025. godine) dok je u prethodnoj godini knjižen trošak za jedanaest  plaća i doprinosa na plaću.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170.796,80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204.042,74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Donošenjem Uredbe o nazivima radnih mjesta, uvjetima za raspored i koeficijentima za obračun plaće u državnoj službi (NN22/24) povećani su rashodi za plaće i doprinose zaposlenika. Također prema novom Pravilniku o proračunskom računovodstvu i Računskom planu (NN.br. 158/23/, 154/24) u 2025. godini je knjižen trošak za deset plaća i doprinosa na plaću (trošak plaće od prosinca 2024. godine do prosinca 2025. godine) dok je u prethodnoj godini knjižen trošak za jedanaest  plaća i doprinosa na plaću.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w:t>
            </w:r>
          </w:p>
        </w:tc>
      </w:tr>
    </w:tbl>
    <w:p>
      <w:pPr>
        <w:spacing w:before="0" w:after="0"/>
      </w:pPr>
    </w:p>
    <w:p>
      <w:r>
        <w:t xml:space="preserve">Rashodi za stručno usavršavanje zaposlenika su veći u 2024. godini zbog edukacije zaposlenika u sklopu projekta Erasmus+.</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Rashodi za uredski materijal su veći u 2025. godini zbog nabave stručne literature za psihodijagnostiku koju financira Ministarstvo.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29.517,72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33.370,83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Rashodi za energiju su veći zbog nabave veće količine lož ulja u izvještajnom razdoblju u odnosu na 2024. godinu za 6.000 litara.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Materijal i dijelovi za tekuće i investicijsko održavanje se nabavlja po potrebi Škole te je u 2025. godini sukladno potrebama nabavljeno više nego u 2024. godini.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564,9</w:t>
            </w:r>
          </w:p>
        </w:tc>
      </w:tr>
    </w:tbl>
    <w:p>
      <w:pPr>
        <w:spacing w:before="0" w:after="0"/>
      </w:pPr>
    </w:p>
    <w:p>
      <w:r>
        <w:t xml:space="preserve">Sitni inventar se nabavlja po potrebi Škole te je u 2025. godini sukladno potrebama nabavljeno više sitnog inventara nego u 2024. godini.  Nabavljene su nove tipkovnice i miševi za informatičku učionicu, sitni alat za radionicu te je obnovljen sitni inventar u kabinetu kuharstva i kabinetu posluživanja.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w:t>
            </w:r>
          </w:p>
        </w:tc>
      </w:tr>
    </w:tbl>
    <w:p>
      <w:pPr>
        <w:spacing w:before="0" w:after="0"/>
      </w:pPr>
    </w:p>
    <w:p>
      <w:r>
        <w:t xml:space="preserve">Službena, radna i  zaštitna odjeća i obuća se  nabavlja prema potrebi te je u izvještajnom razdoblju nabavljena radna obuća za tehničko osoblje te radna obuća i odjeća za nastvnicu tjelesne i zdravstvene kulture.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w:t>
            </w:r>
          </w:p>
        </w:tc>
      </w:tr>
    </w:tbl>
    <w:p>
      <w:pPr>
        <w:spacing w:before="0" w:after="0"/>
      </w:pPr>
    </w:p>
    <w:p>
      <w:r>
        <w:t xml:space="preserve">Škola je u 2024. godini ulagala u održavanje krova školske dvorane i elektroinstalaterske radove kako bi se otklonili nedostatci prema Izvješću o  ispitivanju instalacija i radne opreme, te je rashod veći u odnosu na 2025. godinu.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227,1</w:t>
            </w:r>
          </w:p>
        </w:tc>
      </w:tr>
    </w:tbl>
    <w:p>
      <w:pPr>
        <w:spacing w:before="0" w:after="0"/>
      </w:pPr>
    </w:p>
    <w:p>
      <w:r>
        <w:t xml:space="preserve">U prethodnoj godini je škola imala manje potrebe za uslugama promidžbe i informiranja.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w:t>
            </w:r>
          </w:p>
        </w:tc>
      </w:tr>
    </w:tbl>
    <w:p>
      <w:pPr>
        <w:spacing w:before="0" w:after="0"/>
      </w:pPr>
    </w:p>
    <w:p>
      <w:r>
        <w:t xml:space="preserve">U  2025. godini usluga čišćenja dimnjaka je obavljena dva puta dok je u  prethodne godine čišćenje dimnjaka obavljeno tri puta te su i troškovi za komunalne usluge time veći u 2025. godini.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Škola je u 2024. godini imala u najmu dva multifunkcionalna uređaja za printanje, kopiranje i skeniranje što u 2025. nije bilo potrebno zbog nabave vlastitih uređaja krajem 2024.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w:t>
            </w:r>
          </w:p>
        </w:tc>
      </w:tr>
    </w:tbl>
    <w:p>
      <w:pPr>
        <w:spacing w:before="0" w:after="0"/>
      </w:pPr>
    </w:p>
    <w:p>
      <w:r>
        <w:t xml:space="preserve">Zdravstvene i veterinarske usluge su veće u 2025. godini zbog odaziva većg broja zaposlnika za sistematski pregled.</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w:t>
            </w:r>
          </w:p>
        </w:tc>
      </w:tr>
    </w:tbl>
    <w:p>
      <w:pPr>
        <w:spacing w:before="0" w:after="0"/>
      </w:pPr>
    </w:p>
    <w:p>
      <w:r>
        <w:t xml:space="preserve">U 2024. godini škola je organizirala  natjecanja WorlSkills Croatia 2024. i isplatila naknadu za povjerenstvo natjecanja te je zbog toga rashod veću u odnosu na 2025. godinu.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w:t>
            </w:r>
          </w:p>
        </w:tc>
      </w:tr>
    </w:tbl>
    <w:p>
      <w:pPr>
        <w:spacing w:before="0" w:after="0"/>
      </w:pPr>
    </w:p>
    <w:p>
      <w:r>
        <w:t xml:space="preserve">Ostale usluge  su veće u 2025. godini zbog izrada eleborata: Procjena postojećeg stanja i analiza rizika te Izrada elaborata: procjena hig. epidemioloških rizika.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w:t>
            </w:r>
          </w:p>
        </w:tc>
      </w:tr>
    </w:tbl>
    <w:p>
      <w:pPr>
        <w:spacing w:before="0" w:after="0"/>
      </w:pPr>
    </w:p>
    <w:p>
      <w:r>
        <w:t xml:space="preserve">Škola prema broju zaposlenika ima obavezu zapošljavanja dva invalida međutim do 31.08.2024. godine je škola imala zaposlenog jednog invalida te se je od rujna 2024. godine povećao trošak plaćanja naknade za nezapošljavanje invalida.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w:t>
            </w:r>
          </w:p>
        </w:tc>
      </w:tr>
    </w:tbl>
    <w:p>
      <w:pPr>
        <w:spacing w:before="0" w:after="0"/>
      </w:pPr>
    </w:p>
    <w:p>
      <w:r>
        <w:t xml:space="preserve">Zbog naknadno proglašenih neprihvatljivih troškova za projekt MREŽA KOM5ENTNOSTI  u iznosu od 3.754,88 eura Škola ima znatno veće ostale nespomenute rashode u izvještajnom razdoblju 2024.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Naknade građanima i kućanstvima su veći u 2025. godini iz razloga što je u rujnu 2024. godine upisan novi učenik koji  ima  pravo na sufinanciranje cijene prijevoza.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w:t>
            </w:r>
          </w:p>
        </w:tc>
      </w:tr>
    </w:tbl>
    <w:p>
      <w:pPr>
        <w:spacing w:before="0" w:after="0"/>
      </w:pPr>
    </w:p>
    <w:p>
      <w:r>
        <w:t xml:space="preserve">Dugotrajna imovina nabavlja se prema potrebama i financijskim mogućnostima Škole. Škola je nabavila manje uredske opreme nego u 2024. godini.  Nabavljen je namještaj za jedan ured i dva računala za ured ravnateljice i ured računovodstva s obzirom da do sada u uredima nisu postojala računala već dotrajalo prijenosno računalo.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je u 2025. godini radi sigurnosti djece i djelatnika u prostorima škole i školskog dvorišta ulagala u opremu za održavanje i zaštitu. Postavljeni su parlafoni  na glavnom ulazu te na ulazu za djecu, obnovljen je sustav video nadzora te su postavljene i nove kamere. U dvorištu je postavljna ograda.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304,1</w:t>
            </w:r>
          </w:p>
        </w:tc>
      </w:tr>
    </w:tbl>
    <w:p>
      <w:pPr>
        <w:spacing w:before="0" w:after="0"/>
      </w:pPr>
    </w:p>
    <w:p>
      <w:r>
        <w:t xml:space="preserve">U 2025. godini Škola je nabavila zamrzivač i perilicu rublja za kabinet kuharstva i posluživanja.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w:t>
            </w:r>
          </w:p>
        </w:tc>
      </w:tr>
    </w:tbl>
    <w:p>
      <w:pPr>
        <w:spacing w:before="0" w:after="0"/>
      </w:pPr>
    </w:p>
    <w:p>
      <w:r>
        <w:t xml:space="preserve">U 2025. godini škola nije ostvrila prihod pa ni rashod za nabavu besplatnih udžbenika za djecu.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113.871,72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4223,1</w:t>
            </w:r>
          </w:p>
        </w:tc>
      </w:tr>
    </w:tbl>
    <w:p>
      <w:pPr>
        <w:spacing w:before="0" w:after="0"/>
      </w:pPr>
    </w:p>
    <w:p>
      <w:r>
        <w:t xml:space="preserve">Do odstupanja dolazi zbog primjene novog Pravilnika o proračunskom računovodstvu i Računskom planu (158/23 i 154/24). Konto 1931 Kontinuirani rashodi budućih razdoblja koji se ranije koristio za knjiženje obračunatih, ali neplaćenih obveza (najčešće plaća i ostalih materijalnih prava te naknade poslodavca zbog nezapošljavanja osoba s invaliditetom) više ne postoji u računskom planu te se u 2025. godini ne koristi. Također, prema novom Pravilniku svaki prihod mora prethodno imati knjižen konta obračunatih prihoda odnosno 16 i 96. Tako su obveze za plaću, ostala materijalna prava i naknadu poslodavca za nezapošljavanje invalida za prosinac 2025. godine koje će biti isplaćene u siječnju 2026. godine knjižene na konto 96 dok su te iste obveze u 2024. godini bile iskazane na kontu 19.</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odstupanja dolazi zbog primjene novog Pravilnika o proračunskom računovodstvu i Računskom planu (158/23 i 154/24). Konto 1931 Kontinuirani rashodi budućih razdoblja koji se ranije koristio za knjiženje obračunatih, ali neplaćenih obveza (najčešće plaća i ostalih materijalnih prava te naknade poslodavca zbog nezapošljavanja osoba s invaliditetom) više ne postoji u računskom planu te se u 2025. godini ne koristi. Također, prema novom Pravilniku svaki prihod mora prethodno imati knjižen konta obračunatih prihoda odnosno 16 i 96. Tako su obveze za plaću, ostala materijalna prava i naknadu poslodavca za nezapošljavanje invalida za prosinac 2025. godine koje će biti isplaćene u siječnju 2026. godine knjižene na konto 96 dok su te iste obveze u 2024. godini bile iskazane na kontu 19.</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1.252.752,54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1.193.806,34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Škola nema dugoročnih niti kratkoročnih kredita i zajmova niti ostalih ugovornih odnosa koji uz ispunjenje određenih uvjeta mogu postati imovina ili obveza Škole. Na dan 31. prosinca 2025. godine Škola ima jedan sudski spor u tijeku sa fizičkom osobom. Glavnica iznosi 3.907,58 eura, dok procjena financijskog učinka koji može proisteći iz sudskog spora kao obveza ili imovina iznosi 7.815,16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1.096.183,59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1.058.377,53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w:t>
            </w:r>
          </w:p>
        </w:tc>
      </w:tr>
    </w:tbl>
    <w:p>
      <w:pPr>
        <w:spacing w:before="0" w:after="0"/>
      </w:pPr>
    </w:p>
    <w:p>
      <w:r>
        <w:t xml:space="preserve">Vrijednosno najznačajnija nefinancijska imovina su građevinski objekti. Škola posjeduje zgradu škole i dvoranu.  Zatim slijede postrojenja i oprema te knjige u školskoj knjižnici.</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28.982,35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39.587,01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w:t>
            </w:r>
          </w:p>
        </w:tc>
      </w:tr>
    </w:tbl>
    <w:p>
      <w:pPr>
        <w:spacing w:before="0" w:after="0"/>
      </w:pPr>
    </w:p>
    <w:p>
      <w:r>
        <w:t xml:space="preserve">Škola je u 2025. godini radi sigurnosti djece i djelatnika u prostorima škole i školskog dvorišta ulagala u opremu za održavanje i zaštitu. Postavljeni su parlafoni  na glavnom ulazu te na ulazu za djecu, obnovljen je sustav video nadzora te su postavljene i nove kamere. U dvorištu je postavljna ograda.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156.568,95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135.428,81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w:t>
            </w:r>
          </w:p>
        </w:tc>
      </w:tr>
    </w:tbl>
    <w:p>
      <w:pPr>
        <w:spacing w:before="0" w:after="0"/>
      </w:pPr>
    </w:p>
    <w:p>
      <w:r>
        <w:t xml:space="preserve">Vrijednosno najznačajnija financijska imovina Škole na dan 31.12.2025. godine je novac na žiro računu (15.261,77 eura).  Osim novca Škola ima evidentirana i potraživanja od kojih su najznačajnija potraživanja za pomoći proračunskim korisnicima iz proračuna koji im nije nadležan, odnosno potraživanja od MZOM za plaće,  materijalna prava zaposlenika i naknadu za nezapošljavanje invalida za prosinac 2025. godine (čija je isplata u siječnju 2026. godine) kao i za pedagošku dijagnostiku prema Odluci iz prosinca 2025. godine čija će djelomična isplata biti u 2026. godini (dio je isplaćen u 2025. godini).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113.871,72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4223,1</w:t>
            </w:r>
          </w:p>
        </w:tc>
      </w:tr>
    </w:tbl>
    <w:p>
      <w:pPr>
        <w:spacing w:before="0" w:after="0"/>
      </w:pPr>
    </w:p>
    <w:p>
      <w:r>
        <w:t xml:space="preserve">Zbog primjene novog Pravilnika o proračunskom računovodstvu i Računskom planu (158/23 i 154/24) mjenja se način knjiženja. Konto 1931 Kontinuirani rashodi budućih razdoblja koji se ranije koristio za knjiženje obračunatih, ali neplaćenih obveza (najčešće plaća i ostalih materijalnih prava te naknade poslodavca zbog nezapošljavanja osoba s invaliditetom) više ne postoji u računskom planu te se u 2025. godini ne koristi. Također, prema novom Pravilniku svaki prihod mora prethodno imati knjižen konta obračunatih prihoda odnosno 16 i 96. Tako su obveze za plaću, ostala materijalna prava i naknadu poslodavca za nezapošljavanje invalida za prosinac 2025. godine koje će biti isplaćene u siječnju 2026. godine knjižene na konto 16 dok su te iste obveze u 2024. godini bile iskazane na kontu 19.</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primjene novog Pravilnika o proračunskom računovodstvu i Računskom planu (158/23 i 154/24) mjenja se način knjiženja. Konto 1931 Kontinuirani rashodi budućih razdoblja koji se ranije koristio za knjiženje obračunatih, ali neplaćenih obveza (najčešće plaća i ostalih materijalnih prava te naknade poslodavca zbog nezapošljavanja osoba s invaliditetom) više ne postoji u računskom planu te se u 2025. godini ne koristi. Također, prema novom Pravilniku svaki prihod mora prethodno imati knjižen konta obračunatih prihoda odnosno 16 i 96. Tako su obveze za plaću, ostala materijalna prava i naknadu poslodavca za nezapošljavanje invalida za prosinac 2025. godine koje će biti isplaćene u siječnju 2026. godine knjižene na konto 16 dok su te iste obveze u 2024. godini bile iskazane na kontu 19.</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1.252.752,54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1.193.806,34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Vrijednosno najznačajnije obveze Škole su obveze za zaposlene odnosno plaća i materijalna prava zaposlenika za prosinac 2025. godine koje se isplaćuju u siječnju 2026. godine.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w:t>
            </w:r>
          </w:p>
        </w:tc>
      </w:tr>
    </w:tbl>
    <w:p>
      <w:pPr>
        <w:spacing w:before="0" w:after="0"/>
      </w:pPr>
    </w:p>
    <w:p>
      <w:r>
        <w:t xml:space="preserve">Zbog primjene novog pravilnika bolovanja ne teret Hzzo za povrat u proračun od 01.01.2025. se više ne evidentiraju na kontu 239 već u okviru skupine 27.</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113.871,72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4223,1</w:t>
            </w:r>
          </w:p>
        </w:tc>
      </w:tr>
    </w:tbl>
    <w:p>
      <w:pPr>
        <w:spacing w:before="0" w:after="0"/>
      </w:pPr>
    </w:p>
    <w:p>
      <w:r>
        <w:t xml:space="preserve">Zbog primjene novog Pravilnika o proračunskom računovodstvu i Računskom planu (158/23 i 154/24) mjenja se način knjiženja. Konto 1931 Kontinuirani rashodi budućih razdoblja koji se ranije koristio za knjiženje obračunatih, ali neplaćenih obveza (najčešće plaća i ostalih materijalnih prava te naknade poslodavca zbog nezapošljavanja osoba s invaliditetom) više ne postoji u računskom planu te se u 2025. godini ne koristi. Također, prema novom Pravilniku svaki prihod mora prethodno imati knjižen konta obračunatih prihoda odnosno 16 i 96. Tako su obveze za plaću, ostala materijalna prava i naknadu poslodavca za nezapošljavanje invalida za prosinac 2025. godine koje će biti isplaćene u siječnju 2026. godine knjižene na konto 96 dok su te iste obveze u 2024. godini bile iskazane na kontu 19.</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Dugi niz godina na kontu 98-Rezerviranja višak prihoda stoji saldo u iznosu od 101,98 euro te je u 2025. godini proveden ispravak iz prethodnih godina u korist poslovnog rezultata odnosno konta 922 za navedni iznos.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1.435.173,72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1.670.449,25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Svi rashodi škole (1.670.449,25EUR) su prema funkcijskoj klasifikaciji rashodi srednjoškolskog obrazovanja i to 1.669.809,25 euro funkcija 0922 Više srednjoškolsko obrazovanje, a 640,00 eura 098 Usluge obrazovanja koje nisu drugdje svrstane. Ta je podjela ista kao i prethodne godine. Usluge obrazovanja koje nisu drugdje svrstane odnose se na organizaciju državnog natjecanja iz engleskog jezika.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55.940,12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55.940,12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Promjena u obujmu imovine odnosi se na amortizaciju odnosno ispravak vrijednosti dugotrajne nefinancijske imovine. Drugih promjena u vrijednosti i obujmu imovine i obveza nije bilo u 2025. godini.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pravovremeno podmiruje svoje obveze te nema nepodmirenih dospjelih obveza.</w:t>
      </w:r>
    </w:p>
    <w:p/>
    <w:p>
      <w:pPr>
        <w:jc w:val="center"/>
        <w:pStyle w:val="Normal"/>
        <w:spacing w:line="240" w:lineRule="auto"/>
        <w:keepNext/>
      </w:pPr>
      <w:r>
        <w:rPr>
          <w:sz w:val="28"/>
          <w:rFonts w:ascii="Times New Roman" w:hAnsi="Times New Roman"/>
        </w:rPr>
        <w:t xml:space="preserve">Bilješka 53.</w:t>
      </w:r>
    </w:p>
    <w:p>
      <w:pPr>
        <w:jc w:val="both"/>
        <w:pStyle w:val="Normal"/>
        <w:spacing w:line="240" w:lineRule="auto"/>
      </w:pPr>
      <w:r>
        <w:rPr>
          <w:b/>
          <w:sz w:val="24"/>
          <w:rFonts w:ascii="Times New Roman" w:hAnsi="Times New Roman"/>
        </w:rPr>
        <w:t xml:space="preserve">EU izvještaj</w:t>
      </w:r>
    </w:p>
    <w:p>
      <w:r>
        <w:t xml:space="preserve">Škola je u 2025. godini korisnik EU projekta Pomoćnici u nastavi. Ukupni prihodi projekta su 46.019,91 euro od toga se na izvor 561 odnosi 12.720,49 eura a na nacionalno sufinanciranje 33.299,42 eura. Ukupni rashodi projekta su 53.146,70 eura od toga se na izvor 561 odnosi 13.800,34 eura a na nacionalno sufinanciranje 39.346,36 eura. Razlika prihoda i rashoda odnosi se na plaću za prosinac 2025. godine za koju će se prihod ostvariti u siječnju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e8515fe6eee459a" /></Relationships>
</file>